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Arial" w:hAnsi="Arial" w:cs="Arial"/>
          <w:b/>
          <w:sz w:val="32"/>
          <w:szCs w:val="32"/>
          <w:u w:val="single"/>
        </w:rPr>
      </w:pPr>
      <w:r>
        <w:rPr>
          <w:rFonts w:ascii="Arial" w:hAnsi="Arial" w:cs="Arial"/>
          <w:b/>
          <w:sz w:val="32"/>
          <w:szCs w:val="32"/>
          <w:u w:val="single"/>
        </w:rPr>
        <w:t>Avukat Sule Öktenay Akyuz</w:t>
      </w:r>
    </w:p>
    <w:p>
      <w:pPr>
        <w:jc w:val="center"/>
        <w:rPr>
          <w:rFonts w:ascii="Arial" w:hAnsi="Arial" w:cs="Arial"/>
          <w:b/>
          <w:sz w:val="32"/>
          <w:szCs w:val="32"/>
          <w:u w:val="single"/>
        </w:rPr>
      </w:pPr>
      <w:r>
        <w:rPr>
          <w:b/>
          <w:bCs/>
          <w:noProof/>
          <w:sz w:val="28"/>
          <w:szCs w:val="28"/>
          <w:lang w:val="en-US"/>
        </w:rPr>
        <w:drawing>
          <wp:inline distT="0" distB="0" distL="0" distR="0">
            <wp:extent cx="1385236" cy="1676400"/>
            <wp:effectExtent l="19050" t="0" r="5414" b="0"/>
            <wp:docPr id="1" name="Picture 10" descr="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
                    <pic:cNvPicPr>
                      <a:picLocks noChangeAspect="1" noChangeArrowheads="1"/>
                    </pic:cNvPicPr>
                  </pic:nvPicPr>
                  <pic:blipFill>
                    <a:blip r:embed="rId4" r:link="rId5" cstate="print"/>
                    <a:srcRect/>
                    <a:stretch>
                      <a:fillRect/>
                    </a:stretch>
                  </pic:blipFill>
                  <pic:spPr bwMode="auto">
                    <a:xfrm>
                      <a:off x="0" y="0"/>
                      <a:ext cx="1385236" cy="1676400"/>
                    </a:xfrm>
                    <a:prstGeom prst="rect">
                      <a:avLst/>
                    </a:prstGeom>
                    <a:noFill/>
                    <a:ln w="9525">
                      <a:noFill/>
                      <a:miter lim="800000"/>
                      <a:headEnd/>
                      <a:tailEnd/>
                    </a:ln>
                  </pic:spPr>
                </pic:pic>
              </a:graphicData>
            </a:graphic>
          </wp:inline>
        </w:drawing>
      </w:r>
    </w:p>
    <w:p>
      <w:pPr>
        <w:jc w:val="both"/>
        <w:rPr>
          <w:rFonts w:ascii="Arial" w:hAnsi="Arial" w:cs="Arial"/>
          <w:sz w:val="20"/>
          <w:szCs w:val="20"/>
        </w:rPr>
      </w:pPr>
      <w:r>
        <w:rPr>
          <w:rFonts w:ascii="Arial" w:hAnsi="Arial" w:cs="Arial"/>
          <w:sz w:val="20"/>
          <w:szCs w:val="20"/>
        </w:rPr>
        <w:t>Sule Akyuz has been a practicing attorney in the US, representing Turkish and American clients for the past eight years. Currently she is working for Arent Fox law firm, an internationally recognized law firm with offices in Los Angeles, New York, San Francisco, and Washington, DC.  Arent Fox provides strategic legal counsel to clients that range from Fortune 500 corporations, start-ups, trade associations, and foreign governments.</w:t>
      </w:r>
    </w:p>
    <w:p>
      <w:pPr>
        <w:jc w:val="both"/>
        <w:rPr>
          <w:rFonts w:ascii="Arial" w:hAnsi="Arial" w:cs="Arial"/>
          <w:sz w:val="20"/>
          <w:szCs w:val="20"/>
        </w:rPr>
      </w:pPr>
      <w:r>
        <w:rPr>
          <w:rFonts w:ascii="Arial" w:hAnsi="Arial" w:cs="Arial"/>
          <w:sz w:val="20"/>
          <w:szCs w:val="20"/>
        </w:rPr>
        <w:t>Prior to joining Arent Fox, she worked for a nationally recognized law firm in international trade in Washington DC. Before Sule came to the United States and became a member of the New York and Washington, DC Bars, she practiced law in Turkey for more than a decade, both as a private practitioner and as in-house counsel for various companies and financial institutions.</w:t>
      </w:r>
    </w:p>
    <w:p>
      <w:pPr>
        <w:jc w:val="both"/>
        <w:rPr>
          <w:rFonts w:ascii="Arial" w:hAnsi="Arial" w:cs="Arial"/>
          <w:sz w:val="20"/>
          <w:szCs w:val="20"/>
        </w:rPr>
      </w:pPr>
      <w:r>
        <w:rPr>
          <w:rFonts w:ascii="Arial" w:hAnsi="Arial" w:cs="Arial"/>
          <w:sz w:val="20"/>
          <w:szCs w:val="20"/>
        </w:rPr>
        <w:t xml:space="preserve">Sule Akyuz has significant contacts with the companies in the United States through chambers of commerce, economic development entities as well as companies doing business in several sectors. </w:t>
      </w:r>
    </w:p>
    <w:p>
      <w:pPr>
        <w:jc w:val="both"/>
        <w:rPr>
          <w:rFonts w:ascii="Arial" w:hAnsi="Arial" w:cs="Arial"/>
          <w:sz w:val="20"/>
          <w:szCs w:val="20"/>
        </w:rPr>
      </w:pPr>
      <w:r>
        <w:rPr>
          <w:rFonts w:ascii="Arial" w:hAnsi="Arial" w:cs="Arial"/>
          <w:sz w:val="20"/>
          <w:szCs w:val="20"/>
        </w:rPr>
        <w:t>Sule is the Washington Representative of the Turkish-American Business Association.</w:t>
      </w:r>
    </w:p>
    <w:p>
      <w:pPr>
        <w:rPr>
          <w:rFonts w:ascii="Arial" w:hAnsi="Arial" w:cs="Arial"/>
          <w:sz w:val="20"/>
          <w:szCs w:val="20"/>
        </w:rPr>
      </w:pPr>
      <w:r>
        <w:rPr>
          <w:rFonts w:ascii="Arial" w:hAnsi="Arial" w:cs="Arial"/>
          <w:sz w:val="20"/>
          <w:szCs w:val="20"/>
        </w:rPr>
        <w:t xml:space="preserve"> </w:t>
      </w:r>
    </w:p>
    <w:p>
      <w:pPr>
        <w:jc w:val="center"/>
        <w:rPr>
          <w:rFonts w:ascii="Arial" w:hAnsi="Arial" w:cs="Arial"/>
          <w:b/>
          <w:sz w:val="32"/>
          <w:szCs w:val="32"/>
          <w:u w:val="single"/>
        </w:rPr>
      </w:pPr>
      <w:r>
        <w:rPr>
          <w:rFonts w:ascii="Arial" w:hAnsi="Arial" w:cs="Arial"/>
          <w:b/>
          <w:sz w:val="32"/>
          <w:szCs w:val="32"/>
          <w:u w:val="single"/>
        </w:rPr>
        <w:t>Diana Fonovich</w:t>
      </w:r>
    </w:p>
    <w:p>
      <w:pPr>
        <w:jc w:val="both"/>
        <w:rPr>
          <w:rFonts w:ascii="Arial" w:hAnsi="Arial" w:cs="Arial"/>
          <w:sz w:val="20"/>
          <w:szCs w:val="20"/>
        </w:rPr>
      </w:pPr>
      <w:r>
        <w:rPr>
          <w:rFonts w:ascii="Arial" w:hAnsi="Arial" w:cs="Arial"/>
          <w:sz w:val="20"/>
          <w:szCs w:val="20"/>
        </w:rPr>
        <w:t>Turkey Representative of NOYA Trade and Consulting/Diana Fonovich has over 15 years of experience Washington, D.C. and Chicago in trade and investment promotion. A U.S. national, Diana has a background in economics and international relations and holds a M.A. from John’s Hopkins University.</w:t>
      </w:r>
    </w:p>
    <w:p>
      <w:pPr>
        <w:jc w:val="both"/>
        <w:rPr>
          <w:rFonts w:ascii="Arial" w:hAnsi="Arial" w:cs="Arial"/>
          <w:sz w:val="20"/>
          <w:szCs w:val="20"/>
        </w:rPr>
      </w:pPr>
      <w:r>
        <w:rPr>
          <w:rFonts w:ascii="Arial" w:hAnsi="Arial" w:cs="Arial"/>
          <w:sz w:val="20"/>
          <w:szCs w:val="20"/>
        </w:rPr>
        <w:t>In her most recent position with the U.S. Department of Commerce, Diana has been assisting foreign companies interested in investing in the United States as well as U.S. companies facing challenges to penetrate foreign markets. In her prior jobs at OPIC and the World Bank, Diana has gained experience in the financing options available to companies investing in emerging markets.</w:t>
      </w:r>
    </w:p>
    <w:p>
      <w:pPr>
        <w:jc w:val="both"/>
        <w:rPr>
          <w:rFonts w:ascii="Arial" w:hAnsi="Arial" w:cs="Arial"/>
          <w:sz w:val="20"/>
          <w:szCs w:val="20"/>
        </w:rPr>
      </w:pPr>
      <w:r>
        <w:rPr>
          <w:rFonts w:ascii="Arial" w:hAnsi="Arial" w:cs="Arial"/>
          <w:sz w:val="20"/>
          <w:szCs w:val="20"/>
        </w:rPr>
        <w:t>Diana has a broad network of contacts throughout key agencies of the U.S. government and is familiar with the challenges facing foreign companies navigating the procedures and requirements to enter the U.S. market.</w:t>
      </w:r>
    </w:p>
    <w:p>
      <w:pPr>
        <w:jc w:val="both"/>
        <w:rPr>
          <w:rFonts w:ascii="Arial" w:hAnsi="Arial" w:cs="Arial"/>
          <w:sz w:val="20"/>
          <w:szCs w:val="20"/>
        </w:rPr>
      </w:pPr>
      <w:r>
        <w:rPr>
          <w:rFonts w:ascii="Arial" w:hAnsi="Arial" w:cs="Arial"/>
          <w:sz w:val="20"/>
          <w:szCs w:val="20"/>
        </w:rPr>
        <w:t>Complementing the legal services offered by Arent Fox, Diana can offer valuable trade and investment support to foreign companies interested in the USA as well as U.S. companies facing challenges to penetrate foreign markets, including:</w:t>
      </w:r>
    </w:p>
    <w:p>
      <w:pPr>
        <w:jc w:val="both"/>
        <w:rPr>
          <w:rFonts w:ascii="Arial" w:hAnsi="Arial" w:cs="Arial"/>
          <w:sz w:val="20"/>
          <w:szCs w:val="20"/>
        </w:rPr>
      </w:pPr>
      <w:r>
        <w:rPr>
          <w:rFonts w:ascii="Arial" w:hAnsi="Arial" w:cs="Arial"/>
          <w:sz w:val="20"/>
          <w:szCs w:val="20"/>
        </w:rPr>
        <w:t>- Sector/product-specific market research and business plans;</w:t>
      </w:r>
    </w:p>
    <w:p>
      <w:pPr>
        <w:jc w:val="both"/>
        <w:rPr>
          <w:rFonts w:ascii="Arial" w:hAnsi="Arial" w:cs="Arial"/>
          <w:sz w:val="20"/>
          <w:szCs w:val="20"/>
        </w:rPr>
      </w:pPr>
      <w:r>
        <w:rPr>
          <w:rFonts w:ascii="Arial" w:hAnsi="Arial" w:cs="Arial"/>
          <w:sz w:val="20"/>
          <w:szCs w:val="20"/>
        </w:rPr>
        <w:lastRenderedPageBreak/>
        <w:t>- Follow-up with relevant U.S. government officials in the processing of Visas, licenses, permits, customs clearances and other necessary regulatory approvals;</w:t>
      </w:r>
    </w:p>
    <w:p>
      <w:pPr>
        <w:jc w:val="both"/>
        <w:rPr>
          <w:rFonts w:ascii="Arial" w:hAnsi="Arial" w:cs="Arial"/>
          <w:sz w:val="20"/>
          <w:szCs w:val="20"/>
        </w:rPr>
      </w:pPr>
      <w:r>
        <w:rPr>
          <w:rFonts w:ascii="Arial" w:hAnsi="Arial" w:cs="Arial"/>
          <w:sz w:val="20"/>
          <w:szCs w:val="20"/>
        </w:rPr>
        <w:t>- Organization of trade fairs, conferences and other promotional events;</w:t>
      </w:r>
    </w:p>
    <w:p>
      <w:pPr>
        <w:jc w:val="both"/>
        <w:rPr>
          <w:rFonts w:ascii="Arial" w:hAnsi="Arial" w:cs="Arial"/>
          <w:sz w:val="20"/>
          <w:szCs w:val="20"/>
        </w:rPr>
      </w:pPr>
      <w:r>
        <w:rPr>
          <w:rFonts w:ascii="Arial" w:hAnsi="Arial" w:cs="Arial"/>
          <w:sz w:val="20"/>
          <w:szCs w:val="20"/>
        </w:rPr>
        <w:t>- Lobbying with state governments for FDI incentives;</w:t>
      </w:r>
    </w:p>
    <w:p>
      <w:pPr>
        <w:jc w:val="both"/>
        <w:rPr>
          <w:rFonts w:ascii="Arial" w:hAnsi="Arial" w:cs="Arial"/>
          <w:sz w:val="20"/>
          <w:szCs w:val="20"/>
        </w:rPr>
      </w:pPr>
      <w:r>
        <w:rPr>
          <w:rFonts w:ascii="Arial" w:hAnsi="Arial" w:cs="Arial"/>
          <w:sz w:val="20"/>
          <w:szCs w:val="20"/>
        </w:rPr>
        <w:t>- Liaison with consular services and help in resolving disputes;</w:t>
      </w:r>
    </w:p>
    <w:p>
      <w:pPr>
        <w:jc w:val="both"/>
        <w:rPr>
          <w:rFonts w:ascii="Arial" w:hAnsi="Arial" w:cs="Arial"/>
          <w:sz w:val="20"/>
          <w:szCs w:val="20"/>
        </w:rPr>
      </w:pPr>
      <w:r>
        <w:rPr>
          <w:rFonts w:ascii="Arial" w:hAnsi="Arial" w:cs="Arial"/>
          <w:sz w:val="20"/>
          <w:szCs w:val="20"/>
        </w:rPr>
        <w:t>- Assistance to procure competitive financing including from international financing institutions.</w:t>
      </w:r>
    </w:p>
    <w:p>
      <w:pPr>
        <w:jc w:val="both"/>
        <w:rPr>
          <w:rFonts w:ascii="Arial" w:hAnsi="Arial" w:cs="Arial"/>
          <w:sz w:val="20"/>
          <w:szCs w:val="20"/>
        </w:rPr>
      </w:pPr>
      <w:r>
        <w:rPr>
          <w:rFonts w:ascii="Arial" w:hAnsi="Arial" w:cs="Arial"/>
          <w:sz w:val="20"/>
          <w:szCs w:val="20"/>
        </w:rPr>
        <w:t>Diana is currently based in Istanbul and covers the entire Mediterranean basin including Turkey, Southern Europe, Northern Africa and the Middle East.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 </w:t>
      </w:r>
    </w:p>
    <w:p>
      <w:pPr>
        <w:jc w:val="center"/>
        <w:rPr>
          <w:rFonts w:ascii="Arial" w:hAnsi="Arial" w:cs="Arial"/>
          <w:b/>
          <w:sz w:val="32"/>
          <w:szCs w:val="32"/>
          <w:u w:val="single"/>
        </w:rPr>
      </w:pPr>
      <w:r>
        <w:rPr>
          <w:rFonts w:ascii="Arial" w:hAnsi="Arial" w:cs="Arial"/>
          <w:b/>
          <w:sz w:val="32"/>
          <w:szCs w:val="32"/>
          <w:u w:val="single"/>
        </w:rPr>
        <w:t>Ms. Hatice Murphy</w:t>
      </w:r>
    </w:p>
    <w:p>
      <w:pPr>
        <w:jc w:val="center"/>
        <w:rPr>
          <w:rFonts w:ascii="Arial" w:hAnsi="Arial" w:cs="Arial"/>
          <w:sz w:val="20"/>
          <w:szCs w:val="20"/>
        </w:rPr>
      </w:pPr>
      <w:r>
        <w:rPr>
          <w:rFonts w:ascii="Arial" w:hAnsi="Arial" w:cs="Arial"/>
          <w:sz w:val="20"/>
          <w:szCs w:val="20"/>
        </w:rPr>
        <w:t xml:space="preserve">E-mail: </w:t>
      </w:r>
      <w:hyperlink r:id="rId6" w:history="1">
        <w:r>
          <w:rPr>
            <w:rStyle w:val="Hyperlink"/>
            <w:rFonts w:ascii="Arial" w:hAnsi="Arial" w:cs="Arial"/>
            <w:sz w:val="20"/>
            <w:szCs w:val="20"/>
          </w:rPr>
          <w:t>hatice@infuzeinternational.com</w:t>
        </w:r>
      </w:hyperlink>
    </w:p>
    <w:p>
      <w:pPr>
        <w:jc w:val="center"/>
        <w:rPr>
          <w:rFonts w:ascii="Arial" w:hAnsi="Arial" w:cs="Arial"/>
          <w:sz w:val="20"/>
          <w:szCs w:val="20"/>
        </w:rPr>
      </w:pPr>
      <w:r>
        <w:rPr>
          <w:rFonts w:ascii="Arial" w:hAnsi="Arial" w:cs="Arial"/>
          <w:sz w:val="20"/>
          <w:szCs w:val="20"/>
        </w:rPr>
        <w:t>Phone: 703-732-6757</w:t>
      </w:r>
    </w:p>
    <w:p>
      <w:pPr>
        <w:jc w:val="both"/>
        <w:rPr>
          <w:rFonts w:ascii="Arial" w:hAnsi="Arial" w:cs="Arial"/>
          <w:sz w:val="20"/>
          <w:szCs w:val="20"/>
        </w:rPr>
      </w:pPr>
      <w:r>
        <w:rPr>
          <w:rFonts w:ascii="Arial" w:hAnsi="Arial" w:cs="Arial"/>
          <w:sz w:val="20"/>
          <w:szCs w:val="20"/>
        </w:rPr>
        <w:t>Ms. Hatice Murphy brings more 20 years of economic and business development experience in domestic and international markets in emerging markets in Information Technologies (IT) and telecommunications products and solutions.  In addition, Ms. Murphy has significant finance and budgeting experience, having started her career working in the financial industry, and expanded to the Fairfax County Department of Management and Budget.  Ms. Murphy was responsible for developing the marketing efforts of the Fairfax County Economic Development Authority in new markets such as Canada, Israel, Australia, New Zealand and Latin America, and the Middle East. Her primary responsibilities included identifying new international prospects, partnership opportunities, and developing strong relationships with governmental and non-governmental organizations in Fairfax County.  Through diligent identification of prospects and partnering opportunities, Ms. Murphy developed these markets into definitive areas for the County and was instrumental in expanding both the number of foreign companies and foreign investment in the community. Through her efforts, investment from Canada and Israel increased significantly and became primary markets for the County.</w:t>
      </w:r>
    </w:p>
    <w:p>
      <w:pPr>
        <w:jc w:val="both"/>
        <w:rPr>
          <w:rFonts w:ascii="Arial" w:hAnsi="Arial" w:cs="Arial"/>
          <w:sz w:val="20"/>
          <w:szCs w:val="20"/>
        </w:rPr>
      </w:pPr>
      <w:r>
        <w:rPr>
          <w:rFonts w:ascii="Arial" w:hAnsi="Arial" w:cs="Arial"/>
          <w:sz w:val="20"/>
          <w:szCs w:val="20"/>
        </w:rPr>
        <w:t>Ms. Murphy led over countless investment missions into Canada, Israel, Turkey and Australia and has organized and hosted numerous inward missions to the United States.  She developed, and implemented partnership seminars such as “Doing Business with Systems Integrators and Federal Government Seminars” for the companies in these countries.  She was a co-partner and organizer of the Embassy of Canada’s highly successful “Partnership in Technology” trade missions and hosted numerous events for the Canadian Embassy, Canadian, has partnered with the New Zealand Trade Agency and Austrade, the trade division of the Australian Embassy.</w:t>
      </w:r>
    </w:p>
    <w:p>
      <w:pPr>
        <w:jc w:val="both"/>
        <w:rPr>
          <w:rFonts w:ascii="Arial" w:hAnsi="Arial" w:cs="Arial"/>
          <w:sz w:val="20"/>
          <w:szCs w:val="20"/>
        </w:rPr>
      </w:pPr>
      <w:r>
        <w:rPr>
          <w:rFonts w:ascii="Arial" w:hAnsi="Arial" w:cs="Arial"/>
          <w:sz w:val="20"/>
          <w:szCs w:val="20"/>
        </w:rPr>
        <w:t>Ms. Murphy holds a BA in Economics and an MBA from George Mason University. Ms. Murphy is the Chair of the Northern Virginia Technology Council’s International Committee, and was former Program Chair for this organizations Business to Government Committee. She is a member of the Armed Forces Communication and Electronics Associations . Ms. Murphy serves on the Development Committee of the Virginia International University and was a former Board Member of the Canadian American Business Council.</w:t>
      </w: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Spacing">
    <w:name w:val="No Spacing"/>
    <w:basedOn w:val="Normal"/>
    <w:uiPriority w:val="1"/>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hatice@infuzeinternational.com" TargetMode="External" />
  <Relationship Id="rId5" Type="http://schemas.openxmlformats.org/officeDocument/2006/relationships/image" Target="cid:image002.jpg@01CF439A.68287460" TargetMode="External" />
  <Relationship Id="rId4" Type="http://schemas.openxmlformats.org/officeDocument/2006/relationships/image" Target="media/image1.jpeg" />
</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776</Words>
  <Characters>4594</Characters>
  <Application>Microsoft Office Word</Application>
  <DocSecurity>0</DocSecurity>
  <Lines>71</Lines>
  <Paragraphs>23</Paragraphs>
  <ScaleCrop>false</ScaleCrop>
  <Company/>
  <LinksUpToDate>false</LinksUpToDate>
  <CharactersWithSpaces>5356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