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DC" w:rsidRPr="00D126F5" w:rsidRDefault="00E123DC" w:rsidP="00D126F5">
      <w:pPr>
        <w:pStyle w:val="GvdeMetni2"/>
        <w:rPr>
          <w:rFonts w:ascii="Arial" w:hAnsi="Arial" w:cs="Arial"/>
          <w:sz w:val="22"/>
          <w:szCs w:val="22"/>
          <w:lang w:val="en-GB"/>
        </w:rPr>
      </w:pPr>
      <w:r w:rsidRPr="00D126F5">
        <w:rPr>
          <w:rFonts w:ascii="Arial" w:hAnsi="Arial" w:cs="Arial"/>
          <w:sz w:val="22"/>
          <w:szCs w:val="22"/>
          <w:lang w:val="en-GB"/>
        </w:rPr>
        <w:t>Netherlands Multi-</w:t>
      </w:r>
      <w:proofErr w:type="spellStart"/>
      <w:r w:rsidRPr="00D126F5">
        <w:rPr>
          <w:rFonts w:ascii="Arial" w:hAnsi="Arial" w:cs="Arial"/>
          <w:sz w:val="22"/>
          <w:szCs w:val="22"/>
          <w:lang w:val="en-GB"/>
        </w:rPr>
        <w:t>Sectoral</w:t>
      </w:r>
      <w:proofErr w:type="spellEnd"/>
      <w:r w:rsidRPr="00D126F5">
        <w:rPr>
          <w:rFonts w:ascii="Arial" w:hAnsi="Arial" w:cs="Arial"/>
          <w:sz w:val="22"/>
          <w:szCs w:val="22"/>
          <w:lang w:val="en-GB"/>
        </w:rPr>
        <w:t xml:space="preserve"> Trade </w:t>
      </w:r>
      <w:smartTag w:uri="urn:schemas-microsoft-com:office:smarttags" w:element="place">
        <w:smartTag w:uri="urn:schemas-microsoft-com:office:smarttags" w:element="City">
          <w:r w:rsidRPr="00D126F5">
            <w:rPr>
              <w:rFonts w:ascii="Arial" w:hAnsi="Arial" w:cs="Arial"/>
              <w:sz w:val="22"/>
              <w:szCs w:val="22"/>
              <w:lang w:val="en-GB"/>
            </w:rPr>
            <w:t>Mission</w:t>
          </w:r>
        </w:smartTag>
      </w:smartTag>
      <w:r w:rsidRPr="00D126F5">
        <w:rPr>
          <w:rFonts w:ascii="Arial" w:hAnsi="Arial" w:cs="Arial"/>
          <w:sz w:val="22"/>
          <w:szCs w:val="22"/>
          <w:lang w:val="en-GB"/>
        </w:rPr>
        <w:t>,</w:t>
      </w:r>
    </w:p>
    <w:p w:rsidR="00E123DC" w:rsidRPr="00D126F5" w:rsidRDefault="00E123DC" w:rsidP="00D126F5">
      <w:pPr>
        <w:pStyle w:val="GvdeMetni2"/>
        <w:rPr>
          <w:rFonts w:ascii="Arial" w:hAnsi="Arial" w:cs="Arial"/>
          <w:sz w:val="22"/>
          <w:szCs w:val="22"/>
          <w:lang w:val="en-GB"/>
        </w:rPr>
      </w:pPr>
      <w:proofErr w:type="gramStart"/>
      <w:r w:rsidRPr="00D126F5">
        <w:rPr>
          <w:rFonts w:ascii="Arial" w:hAnsi="Arial" w:cs="Arial"/>
          <w:sz w:val="22"/>
          <w:szCs w:val="22"/>
          <w:lang w:val="en-GB"/>
        </w:rPr>
        <w:t>headed</w:t>
      </w:r>
      <w:proofErr w:type="gramEnd"/>
      <w:r w:rsidRPr="00D126F5">
        <w:rPr>
          <w:rFonts w:ascii="Arial" w:hAnsi="Arial" w:cs="Arial"/>
          <w:sz w:val="22"/>
          <w:szCs w:val="22"/>
          <w:lang w:val="en-GB"/>
        </w:rPr>
        <w:t xml:space="preserve"> by </w:t>
      </w:r>
    </w:p>
    <w:p w:rsidR="00E123DC" w:rsidRPr="00D126F5" w:rsidRDefault="00E123DC" w:rsidP="00D126F5">
      <w:pPr>
        <w:pStyle w:val="GvdeMetni2"/>
        <w:rPr>
          <w:rFonts w:ascii="Arial" w:hAnsi="Arial" w:cs="Arial"/>
          <w:sz w:val="22"/>
          <w:szCs w:val="22"/>
          <w:lang w:val="en-GB"/>
        </w:rPr>
      </w:pPr>
      <w:r w:rsidRPr="00D126F5">
        <w:rPr>
          <w:rFonts w:ascii="Arial" w:hAnsi="Arial" w:cs="Arial"/>
          <w:sz w:val="22"/>
          <w:szCs w:val="22"/>
          <w:lang w:val="en-GB"/>
        </w:rPr>
        <w:t>Mr</w:t>
      </w:r>
      <w:r w:rsidR="00DF3C75">
        <w:rPr>
          <w:rFonts w:ascii="Arial" w:hAnsi="Arial" w:cs="Arial"/>
          <w:sz w:val="22"/>
          <w:szCs w:val="22"/>
          <w:lang w:val="en-GB"/>
        </w:rPr>
        <w:t xml:space="preserve">s. </w:t>
      </w:r>
      <w:proofErr w:type="spellStart"/>
      <w:r w:rsidR="00DF3C75">
        <w:rPr>
          <w:rFonts w:ascii="Arial" w:hAnsi="Arial" w:cs="Arial"/>
          <w:sz w:val="22"/>
          <w:szCs w:val="22"/>
          <w:lang w:val="en-GB"/>
        </w:rPr>
        <w:t>Lilianne</w:t>
      </w:r>
      <w:proofErr w:type="spellEnd"/>
      <w:r w:rsidR="00DF3C7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F3C75">
        <w:rPr>
          <w:rFonts w:ascii="Arial" w:hAnsi="Arial" w:cs="Arial"/>
          <w:sz w:val="22"/>
          <w:szCs w:val="22"/>
          <w:lang w:val="en-GB"/>
        </w:rPr>
        <w:t>Ploumen</w:t>
      </w:r>
      <w:proofErr w:type="spellEnd"/>
      <w:r w:rsidRPr="00D126F5">
        <w:rPr>
          <w:rFonts w:ascii="Arial" w:hAnsi="Arial" w:cs="Arial"/>
          <w:sz w:val="22"/>
          <w:szCs w:val="22"/>
          <w:lang w:val="en-GB"/>
        </w:rPr>
        <w:t>, Minister for Foreign Trade</w:t>
      </w:r>
      <w:r w:rsidR="00DF3C75">
        <w:rPr>
          <w:rFonts w:ascii="Arial" w:hAnsi="Arial" w:cs="Arial"/>
          <w:sz w:val="22"/>
          <w:szCs w:val="22"/>
          <w:lang w:val="en-GB"/>
        </w:rPr>
        <w:t xml:space="preserve"> and Development</w:t>
      </w:r>
      <w:r w:rsidRPr="00D126F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123DC" w:rsidRPr="00D126F5" w:rsidRDefault="00DF3C75" w:rsidP="00D126F5">
      <w:pPr>
        <w:pStyle w:val="GvdeMetni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2-4 June</w:t>
      </w:r>
      <w:r w:rsidR="00697DAA">
        <w:rPr>
          <w:rFonts w:ascii="Arial" w:hAnsi="Arial" w:cs="Arial"/>
          <w:sz w:val="22"/>
          <w:szCs w:val="22"/>
          <w:lang w:val="en-GB"/>
        </w:rPr>
        <w:t xml:space="preserve"> 2014</w:t>
      </w:r>
    </w:p>
    <w:p w:rsidR="00E123DC" w:rsidRPr="00CF1F0D" w:rsidRDefault="00E123DC" w:rsidP="00D126F5">
      <w:pPr>
        <w:pStyle w:val="NormalWeb1"/>
        <w:spacing w:before="0" w:after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</w:p>
    <w:p w:rsidR="00E123DC" w:rsidRDefault="00E123DC" w:rsidP="00D126F5">
      <w:pPr>
        <w:pStyle w:val="Balk3"/>
        <w:spacing w:line="240" w:lineRule="auto"/>
        <w:jc w:val="center"/>
        <w:rPr>
          <w:rFonts w:ascii="Arial" w:hAnsi="Arial" w:cs="Arial"/>
          <w:b/>
          <w:sz w:val="20"/>
        </w:rPr>
      </w:pPr>
      <w:r w:rsidRPr="002F2B9C">
        <w:rPr>
          <w:rFonts w:ascii="Arial" w:hAnsi="Arial" w:cs="Arial"/>
          <w:b/>
          <w:sz w:val="20"/>
        </w:rPr>
        <w:t>List of Participants</w:t>
      </w:r>
    </w:p>
    <w:p w:rsidR="00697DAA" w:rsidRPr="00697DAA" w:rsidRDefault="00697DAA" w:rsidP="00697DAA">
      <w:pPr>
        <w:rPr>
          <w:lang w:val="en-U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032"/>
        <w:gridCol w:w="2750"/>
        <w:gridCol w:w="3780"/>
        <w:gridCol w:w="4950"/>
      </w:tblGrid>
      <w:tr w:rsidR="00E123DC" w:rsidRPr="00D126F5" w:rsidTr="00A129AD">
        <w:trPr>
          <w:trHeight w:val="296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E123DC" w:rsidP="006713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2" w:type="dxa"/>
            <w:shd w:val="clear" w:color="auto" w:fill="BFBFBF"/>
          </w:tcPr>
          <w:p w:rsidR="00E123DC" w:rsidRPr="00D126F5" w:rsidRDefault="00E123DC" w:rsidP="006713FF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126F5">
              <w:rPr>
                <w:rFonts w:ascii="Arial" w:hAnsi="Arial" w:cs="Arial"/>
                <w:b/>
                <w:sz w:val="20"/>
                <w:lang w:val="en-US"/>
              </w:rPr>
              <w:t>COMPANY</w:t>
            </w:r>
          </w:p>
        </w:tc>
        <w:tc>
          <w:tcPr>
            <w:tcW w:w="2750" w:type="dxa"/>
            <w:shd w:val="clear" w:color="auto" w:fill="BFBFBF"/>
          </w:tcPr>
          <w:p w:rsidR="00E123DC" w:rsidRPr="00D126F5" w:rsidRDefault="00E123DC" w:rsidP="006713FF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126F5">
              <w:rPr>
                <w:rFonts w:ascii="Arial" w:hAnsi="Arial" w:cs="Arial"/>
                <w:b/>
                <w:sz w:val="20"/>
                <w:lang w:val="en-GB"/>
              </w:rPr>
              <w:t>WEBSITE</w:t>
            </w:r>
          </w:p>
        </w:tc>
        <w:tc>
          <w:tcPr>
            <w:tcW w:w="3780" w:type="dxa"/>
            <w:shd w:val="clear" w:color="auto" w:fill="BFBFBF"/>
          </w:tcPr>
          <w:p w:rsidR="00E123DC" w:rsidRPr="00D126F5" w:rsidRDefault="00E123DC" w:rsidP="006713FF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126F5">
              <w:rPr>
                <w:rFonts w:ascii="Arial" w:hAnsi="Arial" w:cs="Arial"/>
                <w:b/>
                <w:sz w:val="20"/>
                <w:lang w:val="en-GB"/>
              </w:rPr>
              <w:t>PRODUCTS/SERVICES</w:t>
            </w:r>
          </w:p>
        </w:tc>
        <w:tc>
          <w:tcPr>
            <w:tcW w:w="4950" w:type="dxa"/>
            <w:shd w:val="clear" w:color="auto" w:fill="BFBFBF"/>
          </w:tcPr>
          <w:p w:rsidR="00E123DC" w:rsidRPr="00D126F5" w:rsidRDefault="00E123DC" w:rsidP="006713FF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126F5">
              <w:rPr>
                <w:rFonts w:ascii="Arial" w:hAnsi="Arial" w:cs="Arial"/>
                <w:b/>
                <w:sz w:val="20"/>
                <w:lang w:val="en-GB"/>
              </w:rPr>
              <w:t>LOOKING FOR</w:t>
            </w:r>
          </w:p>
        </w:tc>
      </w:tr>
      <w:tr w:rsidR="00E123DC" w:rsidRPr="00D126F5" w:rsidTr="00A129AD">
        <w:trPr>
          <w:trHeight w:val="1226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E123DC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126F5">
              <w:rPr>
                <w:rFonts w:ascii="Arial" w:hAnsi="Arial" w:cs="Arial"/>
                <w:b/>
                <w:sz w:val="20"/>
                <w:lang w:val="en-GB"/>
              </w:rPr>
              <w:t>1</w:t>
            </w:r>
          </w:p>
        </w:tc>
        <w:tc>
          <w:tcPr>
            <w:tcW w:w="2032" w:type="dxa"/>
          </w:tcPr>
          <w:p w:rsidR="00E123DC" w:rsidRPr="00D126F5" w:rsidRDefault="0095335C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Agmi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Traffic &amp; Lighting </w:t>
            </w:r>
          </w:p>
        </w:tc>
        <w:tc>
          <w:tcPr>
            <w:tcW w:w="2750" w:type="dxa"/>
            <w:shd w:val="clear" w:color="auto" w:fill="BFBFBF"/>
          </w:tcPr>
          <w:p w:rsidR="00E123DC" w:rsidRPr="00D126F5" w:rsidRDefault="0095335C" w:rsidP="006713FF">
            <w:pPr>
              <w:rPr>
                <w:rFonts w:ascii="Arial" w:hAnsi="Arial" w:cs="Arial"/>
                <w:sz w:val="20"/>
                <w:lang w:val="en-GB"/>
              </w:rPr>
            </w:pPr>
            <w:r w:rsidRPr="0095335C">
              <w:rPr>
                <w:rFonts w:ascii="Arial" w:hAnsi="Arial" w:cs="Arial"/>
                <w:sz w:val="20"/>
                <w:lang w:val="en-GB"/>
              </w:rPr>
              <w:t>www.agmi.nl</w:t>
            </w:r>
          </w:p>
        </w:tc>
        <w:tc>
          <w:tcPr>
            <w:tcW w:w="3780" w:type="dxa"/>
            <w:shd w:val="clear" w:color="auto" w:fill="FFFFFF"/>
          </w:tcPr>
          <w:p w:rsidR="00E123DC" w:rsidRPr="00D126F5" w:rsidRDefault="0095335C" w:rsidP="006713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Agmi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is specialized in road signs, constructions, safety equipment and LED lighting for tunnels and underpasses</w:t>
            </w:r>
          </w:p>
        </w:tc>
        <w:tc>
          <w:tcPr>
            <w:tcW w:w="4950" w:type="dxa"/>
            <w:shd w:val="clear" w:color="auto" w:fill="BFBFBF"/>
          </w:tcPr>
          <w:p w:rsidR="00E123DC" w:rsidRPr="00C61622" w:rsidRDefault="0095335C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C61622">
              <w:rPr>
                <w:rFonts w:ascii="Arial" w:hAnsi="Arial" w:cs="Arial"/>
                <w:sz w:val="20"/>
                <w:lang w:val="en-GB"/>
              </w:rPr>
              <w:t>System integrators for tunnel safety equipment</w:t>
            </w:r>
            <w:r w:rsidR="00482BA2" w:rsidRPr="00C61622">
              <w:rPr>
                <w:rFonts w:ascii="Arial" w:hAnsi="Arial" w:cs="Arial"/>
                <w:sz w:val="20"/>
                <w:lang w:val="en-GB"/>
              </w:rPr>
              <w:t xml:space="preserve"> (government, producer or supplier)</w:t>
            </w:r>
          </w:p>
          <w:p w:rsidR="00E123DC" w:rsidRPr="00D126F5" w:rsidRDefault="00E123DC" w:rsidP="00A129AD">
            <w:p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27C44" w:rsidRPr="00D126F5" w:rsidTr="00A129AD">
        <w:trPr>
          <w:trHeight w:val="1024"/>
          <w:jc w:val="center"/>
        </w:trPr>
        <w:tc>
          <w:tcPr>
            <w:tcW w:w="578" w:type="dxa"/>
            <w:shd w:val="clear" w:color="auto" w:fill="BFBFBF"/>
          </w:tcPr>
          <w:p w:rsidR="00827C44" w:rsidRPr="00D126F5" w:rsidRDefault="00827C44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2032" w:type="dxa"/>
          </w:tcPr>
          <w:p w:rsidR="00827C44" w:rsidRDefault="00827C44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ELC Group (a company of Royal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HaskoningDHV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2750" w:type="dxa"/>
            <w:shd w:val="clear" w:color="auto" w:fill="BFBFBF"/>
          </w:tcPr>
          <w:p w:rsidR="00827C44" w:rsidRPr="0095335C" w:rsidRDefault="00827C44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www.royalhaskoningdhv.com</w:t>
            </w:r>
          </w:p>
        </w:tc>
        <w:tc>
          <w:tcPr>
            <w:tcW w:w="3780" w:type="dxa"/>
            <w:shd w:val="clear" w:color="auto" w:fill="FFFFFF"/>
          </w:tcPr>
          <w:p w:rsidR="00827C44" w:rsidRDefault="00827C44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ELC is an independent project management, engineering and consultancy service provider </w:t>
            </w:r>
          </w:p>
        </w:tc>
        <w:tc>
          <w:tcPr>
            <w:tcW w:w="4950" w:type="dxa"/>
            <w:shd w:val="clear" w:color="auto" w:fill="BFBFBF"/>
          </w:tcPr>
          <w:p w:rsidR="00827C44" w:rsidRPr="00C61622" w:rsidRDefault="00B86684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C61622">
              <w:rPr>
                <w:rFonts w:ascii="Arial" w:hAnsi="Arial" w:cs="Arial"/>
                <w:sz w:val="20"/>
                <w:lang w:val="en-GB"/>
              </w:rPr>
              <w:t>Contractors, operators (port, airport), industrial (managing director)</w:t>
            </w:r>
          </w:p>
        </w:tc>
      </w:tr>
      <w:tr w:rsidR="00E123DC" w:rsidRPr="00D126F5" w:rsidTr="00A129AD">
        <w:trPr>
          <w:trHeight w:val="1407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827C44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</w:t>
            </w:r>
          </w:p>
        </w:tc>
        <w:tc>
          <w:tcPr>
            <w:tcW w:w="2032" w:type="dxa"/>
          </w:tcPr>
          <w:p w:rsidR="00E123DC" w:rsidRPr="00D126F5" w:rsidRDefault="00B4390E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Estillon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B.V.</w:t>
            </w:r>
          </w:p>
        </w:tc>
        <w:tc>
          <w:tcPr>
            <w:tcW w:w="2750" w:type="dxa"/>
            <w:shd w:val="clear" w:color="auto" w:fill="BFBFBF"/>
          </w:tcPr>
          <w:p w:rsidR="00E123DC" w:rsidRPr="00D126F5" w:rsidRDefault="00B4390E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www.estillon.nl</w:t>
            </w:r>
          </w:p>
        </w:tc>
        <w:tc>
          <w:tcPr>
            <w:tcW w:w="3780" w:type="dxa"/>
            <w:shd w:val="clear" w:color="auto" w:fill="FFFFFF"/>
          </w:tcPr>
          <w:p w:rsidR="00E123DC" w:rsidRPr="00D126F5" w:rsidRDefault="00F4669A" w:rsidP="006713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Estillon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is specialized in underlay for carpet, laminate,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vinly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, LVT, linoleum</w:t>
            </w:r>
          </w:p>
        </w:tc>
        <w:tc>
          <w:tcPr>
            <w:tcW w:w="4950" w:type="dxa"/>
            <w:shd w:val="clear" w:color="auto" w:fill="BFBFBF"/>
          </w:tcPr>
          <w:p w:rsidR="00A129AD" w:rsidRDefault="006D38DC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A129AD">
              <w:rPr>
                <w:rFonts w:ascii="Arial" w:hAnsi="Arial" w:cs="Arial"/>
                <w:sz w:val="20"/>
                <w:lang w:val="en-GB"/>
              </w:rPr>
              <w:t>Customers: Wholesalers in flooring and accessories, project</w:t>
            </w:r>
            <w:r w:rsidR="00697DAA" w:rsidRPr="00A129A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129AD">
              <w:rPr>
                <w:rFonts w:ascii="Arial" w:hAnsi="Arial" w:cs="Arial"/>
                <w:sz w:val="20"/>
                <w:lang w:val="en-GB"/>
              </w:rPr>
              <w:t>installers, agents (who work for carpet or flooring manufacturers)</w:t>
            </w:r>
            <w:r w:rsidR="00574051" w:rsidRPr="00A129AD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E123DC" w:rsidRPr="00A129AD" w:rsidRDefault="00A129AD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A129AD">
              <w:rPr>
                <w:rFonts w:ascii="Arial" w:hAnsi="Arial" w:cs="Arial"/>
                <w:sz w:val="20"/>
                <w:lang w:val="en-GB"/>
              </w:rPr>
              <w:t>End users: Hotels, theatres, casino’s, offices, houses (private people)</w:t>
            </w:r>
            <w:r w:rsidR="00574051" w:rsidRPr="00A129AD">
              <w:rPr>
                <w:rFonts w:ascii="Arial" w:hAnsi="Arial" w:cs="Arial"/>
                <w:sz w:val="20"/>
                <w:lang w:val="en-GB"/>
              </w:rPr>
              <w:t xml:space="preserve">                     </w:t>
            </w:r>
            <w:r w:rsidRPr="00A129AD">
              <w:rPr>
                <w:rFonts w:ascii="Arial" w:hAnsi="Arial" w:cs="Arial"/>
                <w:sz w:val="20"/>
                <w:lang w:val="en-GB"/>
              </w:rPr>
              <w:t xml:space="preserve">                     </w:t>
            </w:r>
          </w:p>
        </w:tc>
      </w:tr>
      <w:tr w:rsidR="00E123DC" w:rsidRPr="00D126F5" w:rsidTr="00A129AD">
        <w:trPr>
          <w:trHeight w:val="305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827C44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4</w:t>
            </w:r>
          </w:p>
        </w:tc>
        <w:tc>
          <w:tcPr>
            <w:tcW w:w="2032" w:type="dxa"/>
          </w:tcPr>
          <w:p w:rsidR="00E123DC" w:rsidRPr="00D126F5" w:rsidRDefault="00D356B3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Gasa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Holland</w:t>
            </w:r>
          </w:p>
        </w:tc>
        <w:tc>
          <w:tcPr>
            <w:tcW w:w="2750" w:type="dxa"/>
            <w:shd w:val="clear" w:color="auto" w:fill="BFBFBF"/>
          </w:tcPr>
          <w:p w:rsidR="00E123DC" w:rsidRPr="00D126F5" w:rsidRDefault="00D356B3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www.gasagroup.com</w:t>
            </w:r>
          </w:p>
        </w:tc>
        <w:tc>
          <w:tcPr>
            <w:tcW w:w="3780" w:type="dxa"/>
            <w:shd w:val="clear" w:color="auto" w:fill="FFFFFF"/>
          </w:tcPr>
          <w:p w:rsidR="00E123DC" w:rsidRPr="00D126F5" w:rsidRDefault="00C02669" w:rsidP="006713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Gasa</w:t>
            </w:r>
            <w:proofErr w:type="spellEnd"/>
            <w:r w:rsidR="00E123DC">
              <w:rPr>
                <w:rFonts w:ascii="Arial" w:hAnsi="Arial" w:cs="Arial"/>
                <w:sz w:val="20"/>
                <w:lang w:val="en-GB"/>
              </w:rPr>
              <w:t xml:space="preserve"> is specialized in </w:t>
            </w:r>
            <w:r w:rsidR="003C41CC">
              <w:rPr>
                <w:rFonts w:ascii="Arial" w:hAnsi="Arial" w:cs="Arial"/>
                <w:sz w:val="20"/>
                <w:lang w:val="en-GB"/>
              </w:rPr>
              <w:t>indoor and outdoor plants</w:t>
            </w:r>
          </w:p>
        </w:tc>
        <w:tc>
          <w:tcPr>
            <w:tcW w:w="4950" w:type="dxa"/>
            <w:shd w:val="clear" w:color="auto" w:fill="BFBFBF"/>
          </w:tcPr>
          <w:p w:rsidR="00E123DC" w:rsidRPr="00BB3BCB" w:rsidRDefault="004F469D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BB3BCB">
              <w:rPr>
                <w:rFonts w:ascii="Arial" w:hAnsi="Arial" w:cs="Arial"/>
                <w:sz w:val="20"/>
                <w:lang w:val="en-GB"/>
              </w:rPr>
              <w:t>Retail company's food/non-food with central distribution organised</w:t>
            </w:r>
            <w:r w:rsidR="00574051" w:rsidRPr="00BB3BCB">
              <w:rPr>
                <w:rFonts w:ascii="Arial" w:hAnsi="Arial" w:cs="Arial"/>
                <w:sz w:val="20"/>
                <w:lang w:val="en-GB"/>
              </w:rPr>
              <w:t xml:space="preserve">                                        </w:t>
            </w:r>
            <w:r w:rsidR="00BB3BCB" w:rsidRPr="00BB3BCB">
              <w:rPr>
                <w:rFonts w:ascii="Arial" w:hAnsi="Arial" w:cs="Arial"/>
                <w:sz w:val="20"/>
                <w:lang w:val="en-GB"/>
              </w:rPr>
              <w:t xml:space="preserve">                               </w:t>
            </w:r>
            <w:r w:rsidRPr="00BB3BCB">
              <w:rPr>
                <w:rFonts w:ascii="Arial" w:hAnsi="Arial" w:cs="Arial"/>
                <w:sz w:val="20"/>
                <w:lang w:val="en-GB"/>
              </w:rPr>
              <w:t>Garden centre chains or other market chains</w:t>
            </w:r>
          </w:p>
        </w:tc>
      </w:tr>
      <w:tr w:rsidR="00E123DC" w:rsidRPr="00D126F5" w:rsidTr="00A129AD">
        <w:trPr>
          <w:trHeight w:val="305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827C44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5</w:t>
            </w:r>
          </w:p>
        </w:tc>
        <w:tc>
          <w:tcPr>
            <w:tcW w:w="2032" w:type="dxa"/>
          </w:tcPr>
          <w:p w:rsidR="00E123DC" w:rsidRPr="00D126F5" w:rsidRDefault="00AB555D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KWR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Watercycle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Research Institute</w:t>
            </w:r>
          </w:p>
        </w:tc>
        <w:tc>
          <w:tcPr>
            <w:tcW w:w="2750" w:type="dxa"/>
            <w:shd w:val="clear" w:color="auto" w:fill="BFBFBF"/>
          </w:tcPr>
          <w:p w:rsidR="00E123DC" w:rsidRPr="00D126F5" w:rsidRDefault="00E123DC" w:rsidP="006713FF">
            <w:pPr>
              <w:rPr>
                <w:rFonts w:ascii="Arial" w:hAnsi="Arial" w:cs="Arial"/>
                <w:sz w:val="20"/>
                <w:lang w:val="en-GB"/>
              </w:rPr>
            </w:pPr>
            <w:r w:rsidRPr="00AB555D">
              <w:rPr>
                <w:rFonts w:ascii="Arial" w:hAnsi="Arial" w:cs="Arial"/>
                <w:sz w:val="20"/>
                <w:lang w:val="en-GB"/>
              </w:rPr>
              <w:t>www.</w:t>
            </w:r>
            <w:r w:rsidR="00AB555D">
              <w:rPr>
                <w:rFonts w:ascii="Arial" w:hAnsi="Arial" w:cs="Arial"/>
                <w:sz w:val="20"/>
                <w:lang w:val="en-GB"/>
              </w:rPr>
              <w:t>kwrwater.nl</w:t>
            </w:r>
          </w:p>
        </w:tc>
        <w:tc>
          <w:tcPr>
            <w:tcW w:w="3780" w:type="dxa"/>
            <w:shd w:val="clear" w:color="auto" w:fill="FFFFFF"/>
          </w:tcPr>
          <w:p w:rsidR="00E123DC" w:rsidRPr="00D126F5" w:rsidRDefault="002143FF" w:rsidP="006713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Watershare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is a collaborative platform for top applied research institutes in the public water sector.</w:t>
            </w:r>
          </w:p>
        </w:tc>
        <w:tc>
          <w:tcPr>
            <w:tcW w:w="4950" w:type="dxa"/>
            <w:shd w:val="clear" w:color="auto" w:fill="BFBFBF"/>
          </w:tcPr>
          <w:p w:rsidR="00E123DC" w:rsidRPr="00C61622" w:rsidRDefault="00612589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Governmental water utilities</w:t>
            </w:r>
          </w:p>
          <w:p w:rsidR="00E123DC" w:rsidRPr="00C61622" w:rsidRDefault="00612589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Research institutes</w:t>
            </w:r>
          </w:p>
          <w:p w:rsidR="00C02669" w:rsidRPr="00C61622" w:rsidRDefault="006D3260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C61622">
              <w:rPr>
                <w:rFonts w:ascii="Arial" w:hAnsi="Arial" w:cs="Arial"/>
                <w:sz w:val="20"/>
                <w:lang w:val="en-GB"/>
              </w:rPr>
              <w:t>T</w:t>
            </w:r>
            <w:r w:rsidR="00C02669" w:rsidRPr="00C61622">
              <w:rPr>
                <w:rFonts w:ascii="Arial" w:hAnsi="Arial" w:cs="Arial"/>
                <w:sz w:val="20"/>
                <w:lang w:val="en-GB"/>
              </w:rPr>
              <w:t xml:space="preserve">he </w:t>
            </w:r>
            <w:r w:rsidR="00B26D6C" w:rsidRPr="00C61622">
              <w:rPr>
                <w:rFonts w:ascii="Arial" w:hAnsi="Arial" w:cs="Arial"/>
                <w:sz w:val="20"/>
                <w:lang w:val="en-GB"/>
              </w:rPr>
              <w:t>local consultancy firms working</w:t>
            </w:r>
            <w:r w:rsidR="00C02669" w:rsidRPr="00C61622">
              <w:rPr>
                <w:rFonts w:ascii="Arial" w:hAnsi="Arial" w:cs="Arial"/>
                <w:sz w:val="20"/>
                <w:lang w:val="en-GB"/>
              </w:rPr>
              <w:t xml:space="preserve"> in the Turkish water industry.</w:t>
            </w:r>
          </w:p>
        </w:tc>
      </w:tr>
      <w:tr w:rsidR="00E123DC" w:rsidRPr="00D126F5" w:rsidTr="00A129AD">
        <w:trPr>
          <w:trHeight w:val="305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827C44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2032" w:type="dxa"/>
          </w:tcPr>
          <w:p w:rsidR="00E123DC" w:rsidRPr="00D126F5" w:rsidRDefault="00116925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Rent-All BV</w:t>
            </w:r>
          </w:p>
        </w:tc>
        <w:tc>
          <w:tcPr>
            <w:tcW w:w="2750" w:type="dxa"/>
            <w:shd w:val="clear" w:color="auto" w:fill="BFBFBF"/>
          </w:tcPr>
          <w:p w:rsidR="00E123DC" w:rsidRPr="00D126F5" w:rsidRDefault="00116925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www.rentall.eu</w:t>
            </w:r>
          </w:p>
          <w:p w:rsidR="00E123DC" w:rsidRPr="00D126F5" w:rsidRDefault="00E123DC" w:rsidP="006713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80" w:type="dxa"/>
            <w:shd w:val="clear" w:color="auto" w:fill="FFFFFF"/>
          </w:tcPr>
          <w:p w:rsidR="00E123DC" w:rsidRPr="00D126F5" w:rsidRDefault="00116925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Rent-All is specialized in rental of a wide range of equipment for light, sound, rigging and video</w:t>
            </w:r>
          </w:p>
        </w:tc>
        <w:tc>
          <w:tcPr>
            <w:tcW w:w="4950" w:type="dxa"/>
            <w:shd w:val="clear" w:color="auto" w:fill="BFBFBF"/>
          </w:tcPr>
          <w:p w:rsidR="00E123DC" w:rsidRPr="00C61622" w:rsidRDefault="00B26D6C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C61622">
              <w:rPr>
                <w:rFonts w:ascii="Arial" w:hAnsi="Arial" w:cs="Arial"/>
                <w:sz w:val="20"/>
                <w:lang w:val="en-GB"/>
              </w:rPr>
              <w:t>Organizers and technical productions companies who are high-level market player on: television, theatre, festival and (corporate) events</w:t>
            </w:r>
          </w:p>
        </w:tc>
      </w:tr>
      <w:tr w:rsidR="00E123DC" w:rsidRPr="00D126F5" w:rsidTr="00A129AD">
        <w:trPr>
          <w:trHeight w:val="336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827C44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</w:p>
        </w:tc>
        <w:tc>
          <w:tcPr>
            <w:tcW w:w="2032" w:type="dxa"/>
          </w:tcPr>
          <w:p w:rsidR="00E123DC" w:rsidRPr="00D126F5" w:rsidRDefault="00BC0418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Robin Radar Systems B.V.</w:t>
            </w:r>
          </w:p>
        </w:tc>
        <w:tc>
          <w:tcPr>
            <w:tcW w:w="2750" w:type="dxa"/>
            <w:shd w:val="clear" w:color="auto" w:fill="BFBFBF"/>
          </w:tcPr>
          <w:p w:rsidR="00E123DC" w:rsidRPr="00D126F5" w:rsidRDefault="00E123DC" w:rsidP="006713FF">
            <w:pPr>
              <w:rPr>
                <w:rFonts w:ascii="Arial" w:hAnsi="Arial" w:cs="Arial"/>
                <w:sz w:val="20"/>
                <w:lang w:val="tr-TR"/>
              </w:rPr>
            </w:pPr>
            <w:r w:rsidRPr="00BC0418">
              <w:rPr>
                <w:rFonts w:ascii="Arial" w:hAnsi="Arial" w:cs="Arial"/>
                <w:sz w:val="20"/>
                <w:lang w:val="en-GB"/>
              </w:rPr>
              <w:t>www.</w:t>
            </w:r>
            <w:r w:rsidR="00BC0418">
              <w:rPr>
                <w:rFonts w:ascii="Arial" w:hAnsi="Arial" w:cs="Arial"/>
                <w:sz w:val="20"/>
                <w:lang w:val="en-GB"/>
              </w:rPr>
              <w:t>robinradar.com</w:t>
            </w:r>
          </w:p>
        </w:tc>
        <w:tc>
          <w:tcPr>
            <w:tcW w:w="3780" w:type="dxa"/>
            <w:shd w:val="clear" w:color="auto" w:fill="FFFFFF"/>
          </w:tcPr>
          <w:p w:rsidR="00E123DC" w:rsidRPr="00D126F5" w:rsidRDefault="00BC0418" w:rsidP="006713FF">
            <w:pPr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>Robin Radar</w:t>
            </w:r>
            <w:r w:rsidR="00E123DC" w:rsidRPr="00D126F5"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 xml:space="preserve"> is specialized in </w:t>
            </w:r>
            <w:r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>radar research and development with accurate, real-time monitoring and logging of bird movements</w:t>
            </w:r>
          </w:p>
        </w:tc>
        <w:tc>
          <w:tcPr>
            <w:tcW w:w="4950" w:type="dxa"/>
            <w:shd w:val="clear" w:color="auto" w:fill="BFBFBF"/>
          </w:tcPr>
          <w:p w:rsidR="00A47D55" w:rsidRPr="00A47D55" w:rsidRDefault="0019752B" w:rsidP="00A47D55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tr-TR"/>
              </w:rPr>
            </w:pPr>
            <w:r w:rsidRPr="00C61622">
              <w:rPr>
                <w:rFonts w:ascii="Arial" w:hAnsi="Arial" w:cs="Arial"/>
                <w:sz w:val="20"/>
                <w:lang w:val="tr-TR"/>
              </w:rPr>
              <w:t xml:space="preserve">Airports: Head of airside operations, airside operations manager or head of bird control unit. </w:t>
            </w:r>
            <w:proofErr w:type="spellStart"/>
            <w:r w:rsidRPr="00C61622">
              <w:rPr>
                <w:rFonts w:ascii="Arial" w:hAnsi="Arial" w:cs="Arial"/>
                <w:sz w:val="20"/>
                <w:lang w:val="tr-TR"/>
              </w:rPr>
              <w:t>Person</w:t>
            </w:r>
            <w:proofErr w:type="spellEnd"/>
            <w:r w:rsidRPr="00C61622"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spellStart"/>
            <w:r w:rsidRPr="00C61622">
              <w:rPr>
                <w:rFonts w:ascii="Arial" w:hAnsi="Arial" w:cs="Arial"/>
                <w:sz w:val="20"/>
                <w:lang w:val="tr-TR"/>
              </w:rPr>
              <w:t>responsibl</w:t>
            </w:r>
            <w:r w:rsidR="00A47D55">
              <w:rPr>
                <w:rFonts w:ascii="Arial" w:hAnsi="Arial" w:cs="Arial"/>
                <w:sz w:val="20"/>
                <w:lang w:val="tr-TR"/>
              </w:rPr>
              <w:t>e</w:t>
            </w:r>
            <w:proofErr w:type="spellEnd"/>
            <w:r w:rsidR="00A47D55"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spellStart"/>
            <w:r w:rsidR="00A47D55">
              <w:rPr>
                <w:rFonts w:ascii="Arial" w:hAnsi="Arial" w:cs="Arial"/>
                <w:sz w:val="20"/>
                <w:lang w:val="tr-TR"/>
              </w:rPr>
              <w:t>for</w:t>
            </w:r>
            <w:proofErr w:type="spellEnd"/>
            <w:r w:rsidR="00A47D55"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spellStart"/>
            <w:r w:rsidR="00A47D55">
              <w:rPr>
                <w:rFonts w:ascii="Arial" w:hAnsi="Arial" w:cs="Arial"/>
                <w:sz w:val="20"/>
                <w:lang w:val="tr-TR"/>
              </w:rPr>
              <w:t>wildlife</w:t>
            </w:r>
            <w:proofErr w:type="spellEnd"/>
            <w:r w:rsidR="00A47D55"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spellStart"/>
            <w:r w:rsidR="00A47D55">
              <w:rPr>
                <w:rFonts w:ascii="Arial" w:hAnsi="Arial" w:cs="Arial"/>
                <w:sz w:val="20"/>
                <w:lang w:val="tr-TR"/>
              </w:rPr>
              <w:t>hazard</w:t>
            </w:r>
            <w:proofErr w:type="spellEnd"/>
            <w:r w:rsidR="00A47D55"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spellStart"/>
            <w:r w:rsidR="00A47D55">
              <w:rPr>
                <w:rFonts w:ascii="Arial" w:hAnsi="Arial" w:cs="Arial"/>
                <w:sz w:val="20"/>
                <w:lang w:val="tr-TR"/>
              </w:rPr>
              <w:t>managemen</w:t>
            </w:r>
            <w:proofErr w:type="spellEnd"/>
          </w:p>
          <w:p w:rsidR="00E123DC" w:rsidRPr="00C61622" w:rsidRDefault="00E24CA4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tr-TR"/>
              </w:rPr>
            </w:pPr>
            <w:r w:rsidRPr="00C61622">
              <w:rPr>
                <w:rFonts w:ascii="Arial" w:hAnsi="Arial" w:cs="Arial"/>
                <w:sz w:val="20"/>
                <w:lang w:val="tr-TR"/>
              </w:rPr>
              <w:t>Windfarms: Prior construction: person responsible for environmental impact assessment and/or building permits/ environmental legislation</w:t>
            </w:r>
          </w:p>
        </w:tc>
      </w:tr>
      <w:tr w:rsidR="00E123DC" w:rsidRPr="00D126F5" w:rsidTr="00A129AD">
        <w:trPr>
          <w:trHeight w:val="205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B72805" w:rsidP="006713FF">
            <w:pPr>
              <w:rPr>
                <w:rFonts w:ascii="Arial" w:hAnsi="Arial" w:cs="Arial"/>
                <w:b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>8</w:t>
            </w:r>
          </w:p>
        </w:tc>
        <w:tc>
          <w:tcPr>
            <w:tcW w:w="2032" w:type="dxa"/>
          </w:tcPr>
          <w:p w:rsidR="00E123DC" w:rsidRPr="00D126F5" w:rsidRDefault="008B14A9" w:rsidP="006713FF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TNO</w:t>
            </w:r>
          </w:p>
        </w:tc>
        <w:tc>
          <w:tcPr>
            <w:tcW w:w="2750" w:type="dxa"/>
            <w:shd w:val="clear" w:color="auto" w:fill="BFBFBF"/>
          </w:tcPr>
          <w:p w:rsidR="00E123DC" w:rsidRPr="00D126F5" w:rsidRDefault="008B14A9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www.tno.nl</w:t>
            </w:r>
          </w:p>
          <w:p w:rsidR="00E123DC" w:rsidRPr="00D126F5" w:rsidRDefault="00E123DC" w:rsidP="006713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80" w:type="dxa"/>
            <w:shd w:val="clear" w:color="auto" w:fill="FFFFFF"/>
          </w:tcPr>
          <w:p w:rsidR="00E123DC" w:rsidRPr="008B14A9" w:rsidRDefault="008B14A9" w:rsidP="006713FF">
            <w:pPr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TNO Healthy Living offers research and consultancy on Healthy for Life, Food and Nutrition, Work and Employment, Biomedical Innovations</w:t>
            </w:r>
          </w:p>
        </w:tc>
        <w:tc>
          <w:tcPr>
            <w:tcW w:w="4950" w:type="dxa"/>
            <w:shd w:val="clear" w:color="auto" w:fill="BFBFBF"/>
          </w:tcPr>
          <w:p w:rsidR="00E123DC" w:rsidRPr="00C61622" w:rsidRDefault="00E123DC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C6162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B14A9" w:rsidRPr="00C61622">
              <w:rPr>
                <w:rFonts w:ascii="Arial" w:hAnsi="Arial" w:cs="Arial"/>
                <w:sz w:val="20"/>
                <w:lang w:val="en-GB"/>
              </w:rPr>
              <w:t>R&amp;D intensive companies in food and pharma</w:t>
            </w:r>
            <w:r w:rsidR="00697DAA" w:rsidRPr="00C61622">
              <w:rPr>
                <w:rFonts w:ascii="Arial" w:hAnsi="Arial" w:cs="Arial"/>
                <w:sz w:val="20"/>
                <w:lang w:val="en-GB"/>
              </w:rPr>
              <w:t>ceuticals</w:t>
            </w:r>
          </w:p>
        </w:tc>
      </w:tr>
      <w:tr w:rsidR="00E123DC" w:rsidRPr="00D126F5" w:rsidTr="00A129AD">
        <w:trPr>
          <w:trHeight w:val="2279"/>
          <w:jc w:val="center"/>
        </w:trPr>
        <w:tc>
          <w:tcPr>
            <w:tcW w:w="578" w:type="dxa"/>
            <w:shd w:val="clear" w:color="auto" w:fill="BFBFBF" w:themeFill="background1" w:themeFillShade="BF"/>
          </w:tcPr>
          <w:p w:rsidR="00E123DC" w:rsidRPr="00D126F5" w:rsidRDefault="00B72805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9</w:t>
            </w:r>
          </w:p>
        </w:tc>
        <w:tc>
          <w:tcPr>
            <w:tcW w:w="2032" w:type="dxa"/>
            <w:shd w:val="clear" w:color="auto" w:fill="FFFFFF" w:themeFill="background1"/>
          </w:tcPr>
          <w:p w:rsidR="00E123DC" w:rsidRPr="00D126F5" w:rsidRDefault="00B72805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VU Medical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Center</w:t>
            </w:r>
            <w:proofErr w:type="spellEnd"/>
          </w:p>
        </w:tc>
        <w:tc>
          <w:tcPr>
            <w:tcW w:w="2750" w:type="dxa"/>
            <w:shd w:val="clear" w:color="auto" w:fill="BFBFBF" w:themeFill="background1" w:themeFillShade="BF"/>
          </w:tcPr>
          <w:p w:rsidR="00A129AD" w:rsidRPr="004E5A6C" w:rsidRDefault="00BC4774" w:rsidP="00A129AD">
            <w:pPr>
              <w:rPr>
                <w:rFonts w:ascii="Arial" w:hAnsi="Arial" w:cs="Arial"/>
                <w:sz w:val="20"/>
                <w:lang w:val="en-GB"/>
              </w:rPr>
            </w:pPr>
            <w:r w:rsidRPr="00BC4774">
              <w:rPr>
                <w:rFonts w:ascii="Arial" w:hAnsi="Arial" w:cs="Arial"/>
                <w:sz w:val="20"/>
                <w:lang w:val="en-GB"/>
              </w:rPr>
              <w:t>www.vumc.nl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</w:t>
            </w:r>
            <w:r w:rsidR="00A129AD">
              <w:rPr>
                <w:rFonts w:ascii="Arial" w:hAnsi="Arial" w:cs="Arial"/>
                <w:sz w:val="20"/>
                <w:lang w:val="en-GB"/>
              </w:rPr>
              <w:t>www.vu.nl</w:t>
            </w:r>
          </w:p>
          <w:p w:rsidR="00E123DC" w:rsidRPr="00D126F5" w:rsidRDefault="00E123DC" w:rsidP="00A129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E123DC" w:rsidRPr="00D126F5" w:rsidRDefault="004E5A6C" w:rsidP="006713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VUmc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is specialized in drug development and medical scan devices, contracting facilities and access to translational research infrastructure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:rsidR="00E123DC" w:rsidRPr="00C61622" w:rsidRDefault="00380525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C61622">
              <w:rPr>
                <w:rFonts w:ascii="Arial" w:hAnsi="Arial" w:cs="Arial"/>
                <w:sz w:val="20"/>
                <w:lang w:val="en-GB"/>
              </w:rPr>
              <w:t>Medical or pharmaceutical companies, SME, Spin Offs active in the field of drug development, cancer treatment, biomarkers, radiolabels, imaging technology, translational research, medical devices, PET, MR, CT etc.</w:t>
            </w:r>
          </w:p>
          <w:p w:rsidR="00A129AD" w:rsidRPr="00A129AD" w:rsidRDefault="00380525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C61622">
              <w:rPr>
                <w:rFonts w:ascii="Arial" w:hAnsi="Arial" w:cs="Arial"/>
                <w:sz w:val="20"/>
                <w:lang w:val="en-GB"/>
              </w:rPr>
              <w:t>partners for co developments, clinical research organizations, contract research, investors, governments and academia</w:t>
            </w:r>
          </w:p>
          <w:p w:rsidR="00E123DC" w:rsidRPr="00D126F5" w:rsidRDefault="00E123DC" w:rsidP="00A129AD">
            <w:p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123DC" w:rsidRPr="00D126F5" w:rsidTr="00A129AD">
        <w:trPr>
          <w:trHeight w:val="205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B72805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10</w:t>
            </w:r>
          </w:p>
        </w:tc>
        <w:tc>
          <w:tcPr>
            <w:tcW w:w="2032" w:type="dxa"/>
          </w:tcPr>
          <w:p w:rsidR="00E123DC" w:rsidRPr="00D126F5" w:rsidRDefault="00B72805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YARD 9</w:t>
            </w:r>
          </w:p>
        </w:tc>
        <w:tc>
          <w:tcPr>
            <w:tcW w:w="2750" w:type="dxa"/>
            <w:shd w:val="clear" w:color="auto" w:fill="BFBFBF"/>
          </w:tcPr>
          <w:p w:rsidR="00E123DC" w:rsidRPr="00D126F5" w:rsidRDefault="00E123DC" w:rsidP="006713FF">
            <w:pPr>
              <w:rPr>
                <w:rFonts w:ascii="Arial" w:hAnsi="Arial" w:cs="Arial"/>
                <w:sz w:val="20"/>
                <w:lang w:val="en-GB"/>
              </w:rPr>
            </w:pPr>
            <w:r w:rsidRPr="007C72DA">
              <w:rPr>
                <w:rFonts w:ascii="Arial" w:hAnsi="Arial" w:cs="Arial"/>
                <w:sz w:val="20"/>
                <w:lang w:val="en-GB"/>
              </w:rPr>
              <w:t>www.</w:t>
            </w:r>
            <w:r w:rsidR="007C72DA">
              <w:rPr>
                <w:rFonts w:ascii="Arial" w:hAnsi="Arial" w:cs="Arial"/>
                <w:sz w:val="20"/>
                <w:lang w:val="en-GB"/>
              </w:rPr>
              <w:t>yard9.com</w:t>
            </w:r>
          </w:p>
        </w:tc>
        <w:tc>
          <w:tcPr>
            <w:tcW w:w="3780" w:type="dxa"/>
            <w:shd w:val="clear" w:color="auto" w:fill="FFFFFF"/>
          </w:tcPr>
          <w:p w:rsidR="00E123DC" w:rsidRPr="00D126F5" w:rsidRDefault="007C72DA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Yard 9 is specialized in design services including Reframing, Design Research, Trend Forecasting, Product Design, Innovation Strategy, Interaction Design, Styling, Engineering, Retail Design</w:t>
            </w:r>
          </w:p>
        </w:tc>
        <w:tc>
          <w:tcPr>
            <w:tcW w:w="4950" w:type="dxa"/>
            <w:shd w:val="clear" w:color="auto" w:fill="BFBFBF"/>
          </w:tcPr>
          <w:p w:rsidR="00E123DC" w:rsidRPr="00C61622" w:rsidRDefault="00D534BD" w:rsidP="00A129AD">
            <w:pPr>
              <w:pStyle w:val="ListeParagraf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C61622">
              <w:rPr>
                <w:rFonts w:ascii="Arial" w:hAnsi="Arial" w:cs="Arial"/>
                <w:sz w:val="20"/>
                <w:lang w:val="en-GB"/>
              </w:rPr>
              <w:t>Large and medium size manufacturing companies, exporting manufacturing companies, group companies, NPO’s, local governments within the field of transportation, automotive, way</w:t>
            </w:r>
            <w:r w:rsidR="00697DAA" w:rsidRPr="00C6162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61622">
              <w:rPr>
                <w:rFonts w:ascii="Arial" w:hAnsi="Arial" w:cs="Arial"/>
                <w:sz w:val="20"/>
                <w:lang w:val="en-GB"/>
              </w:rPr>
              <w:t xml:space="preserve">finding and </w:t>
            </w:r>
            <w:r w:rsidR="00697DAA" w:rsidRPr="00C61622">
              <w:rPr>
                <w:rFonts w:ascii="Arial" w:hAnsi="Arial" w:cs="Arial"/>
                <w:sz w:val="20"/>
                <w:lang w:val="en-GB"/>
              </w:rPr>
              <w:t>signa</w:t>
            </w:r>
            <w:r w:rsidRPr="00C61622">
              <w:rPr>
                <w:rFonts w:ascii="Arial" w:hAnsi="Arial" w:cs="Arial"/>
                <w:sz w:val="20"/>
                <w:lang w:val="en-GB"/>
              </w:rPr>
              <w:t>ge, electronics, medical companies, information and communication technologies</w:t>
            </w:r>
          </w:p>
          <w:p w:rsidR="00E123DC" w:rsidRPr="00D126F5" w:rsidRDefault="00E123DC" w:rsidP="00A129AD">
            <w:p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E123DC" w:rsidRPr="002F326B" w:rsidRDefault="00E123DC" w:rsidP="00612589">
      <w:pPr>
        <w:rPr>
          <w:lang w:val="en-GB"/>
        </w:rPr>
      </w:pPr>
    </w:p>
    <w:sectPr w:rsidR="00E123DC" w:rsidRPr="002F326B" w:rsidSect="00A4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-993" w:right="1584" w:bottom="142" w:left="1440" w:header="142" w:footer="614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96" w:rsidRDefault="00D30296" w:rsidP="00CB637B">
      <w:pPr>
        <w:spacing w:line="240" w:lineRule="auto"/>
      </w:pPr>
      <w:r>
        <w:separator/>
      </w:r>
    </w:p>
  </w:endnote>
  <w:endnote w:type="continuationSeparator" w:id="0">
    <w:p w:rsidR="00D30296" w:rsidRDefault="00D30296" w:rsidP="00CB6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DC" w:rsidRDefault="00B32790" w:rsidP="00642E8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123D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123DC" w:rsidRDefault="00E123DC" w:rsidP="00BA7947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79" w:rsidRDefault="00C32A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79" w:rsidRDefault="00C32A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96" w:rsidRDefault="00D30296" w:rsidP="00CB637B">
      <w:pPr>
        <w:spacing w:line="240" w:lineRule="auto"/>
      </w:pPr>
      <w:r>
        <w:separator/>
      </w:r>
    </w:p>
  </w:footnote>
  <w:footnote w:type="continuationSeparator" w:id="0">
    <w:p w:rsidR="00D30296" w:rsidRDefault="00D30296" w:rsidP="00CB63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79" w:rsidRDefault="00C32A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79" w:rsidRDefault="00C32A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DC" w:rsidRDefault="00E123DC">
    <w:pPr>
      <w:pStyle w:val="stbilgi"/>
      <w:rPr>
        <w:b/>
        <w:sz w:val="20"/>
        <w:lang w:val="en-GB"/>
      </w:rPr>
    </w:pPr>
  </w:p>
  <w:p w:rsidR="00E123DC" w:rsidRDefault="00E123DC">
    <w:pPr>
      <w:pStyle w:val="stbilgi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655"/>
    <w:multiLevelType w:val="hybridMultilevel"/>
    <w:tmpl w:val="F4CC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7D36"/>
    <w:multiLevelType w:val="hybridMultilevel"/>
    <w:tmpl w:val="99F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91CC1"/>
    <w:multiLevelType w:val="hybridMultilevel"/>
    <w:tmpl w:val="130E5F0C"/>
    <w:lvl w:ilvl="0" w:tplc="6A7806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F5"/>
    <w:rsid w:val="000625C9"/>
    <w:rsid w:val="00072F27"/>
    <w:rsid w:val="00090DFC"/>
    <w:rsid w:val="00116925"/>
    <w:rsid w:val="00180011"/>
    <w:rsid w:val="0019752B"/>
    <w:rsid w:val="001A2200"/>
    <w:rsid w:val="002143FF"/>
    <w:rsid w:val="002F2B9C"/>
    <w:rsid w:val="002F326B"/>
    <w:rsid w:val="002F54BF"/>
    <w:rsid w:val="00380525"/>
    <w:rsid w:val="003A2DE0"/>
    <w:rsid w:val="003C41CC"/>
    <w:rsid w:val="00482BA2"/>
    <w:rsid w:val="004C0260"/>
    <w:rsid w:val="004E5A6C"/>
    <w:rsid w:val="004F45D3"/>
    <w:rsid w:val="004F469D"/>
    <w:rsid w:val="00501BFD"/>
    <w:rsid w:val="00557569"/>
    <w:rsid w:val="00574051"/>
    <w:rsid w:val="00612589"/>
    <w:rsid w:val="00642E88"/>
    <w:rsid w:val="006713FF"/>
    <w:rsid w:val="006744AA"/>
    <w:rsid w:val="00691E66"/>
    <w:rsid w:val="00697DAA"/>
    <w:rsid w:val="006D3260"/>
    <w:rsid w:val="006D38DC"/>
    <w:rsid w:val="00706061"/>
    <w:rsid w:val="00747640"/>
    <w:rsid w:val="0077434F"/>
    <w:rsid w:val="007C72DA"/>
    <w:rsid w:val="007E49EE"/>
    <w:rsid w:val="00827C44"/>
    <w:rsid w:val="008347CB"/>
    <w:rsid w:val="00887684"/>
    <w:rsid w:val="008B14A9"/>
    <w:rsid w:val="008E21D6"/>
    <w:rsid w:val="00942B1C"/>
    <w:rsid w:val="0095335C"/>
    <w:rsid w:val="00984BA7"/>
    <w:rsid w:val="00985F2C"/>
    <w:rsid w:val="00A129AD"/>
    <w:rsid w:val="00A47D55"/>
    <w:rsid w:val="00AB1765"/>
    <w:rsid w:val="00AB2B6C"/>
    <w:rsid w:val="00AB555D"/>
    <w:rsid w:val="00AF1950"/>
    <w:rsid w:val="00B171D6"/>
    <w:rsid w:val="00B26D6C"/>
    <w:rsid w:val="00B32790"/>
    <w:rsid w:val="00B4390E"/>
    <w:rsid w:val="00B526CF"/>
    <w:rsid w:val="00B62970"/>
    <w:rsid w:val="00B642C9"/>
    <w:rsid w:val="00B72805"/>
    <w:rsid w:val="00B86684"/>
    <w:rsid w:val="00BA7947"/>
    <w:rsid w:val="00BB3BCB"/>
    <w:rsid w:val="00BC0418"/>
    <w:rsid w:val="00BC4774"/>
    <w:rsid w:val="00C02669"/>
    <w:rsid w:val="00C32A79"/>
    <w:rsid w:val="00C374E1"/>
    <w:rsid w:val="00C430BB"/>
    <w:rsid w:val="00C61622"/>
    <w:rsid w:val="00C73C97"/>
    <w:rsid w:val="00C76F37"/>
    <w:rsid w:val="00C924D1"/>
    <w:rsid w:val="00CB114F"/>
    <w:rsid w:val="00CB637B"/>
    <w:rsid w:val="00CD2C36"/>
    <w:rsid w:val="00CF1F0D"/>
    <w:rsid w:val="00D126F5"/>
    <w:rsid w:val="00D30296"/>
    <w:rsid w:val="00D356B3"/>
    <w:rsid w:val="00D534BD"/>
    <w:rsid w:val="00DB583D"/>
    <w:rsid w:val="00DF3C75"/>
    <w:rsid w:val="00E123DC"/>
    <w:rsid w:val="00E24CA4"/>
    <w:rsid w:val="00E33B7D"/>
    <w:rsid w:val="00E622A1"/>
    <w:rsid w:val="00E83B53"/>
    <w:rsid w:val="00E90CBF"/>
    <w:rsid w:val="00EA1F52"/>
    <w:rsid w:val="00F4669A"/>
    <w:rsid w:val="00F72968"/>
    <w:rsid w:val="00FC0790"/>
    <w:rsid w:val="00FC4CE9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F5"/>
    <w:pPr>
      <w:spacing w:line="280" w:lineRule="exact"/>
    </w:pPr>
    <w:rPr>
      <w:rFonts w:ascii="Times New Roman" w:eastAsia="Times New Roman" w:hAnsi="Times New Roman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D126F5"/>
    <w:pPr>
      <w:keepNext/>
      <w:outlineLvl w:val="2"/>
    </w:pPr>
    <w:rPr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D126F5"/>
    <w:rPr>
      <w:rFonts w:ascii="Times New Roman" w:hAnsi="Times New Roman" w:cs="Times New Roman"/>
      <w:sz w:val="20"/>
      <w:szCs w:val="20"/>
      <w:lang w:val="en-US" w:eastAsia="nl-NL"/>
    </w:rPr>
  </w:style>
  <w:style w:type="paragraph" w:styleId="stbilgi">
    <w:name w:val="header"/>
    <w:basedOn w:val="Normal"/>
    <w:link w:val="stbilgiChar"/>
    <w:uiPriority w:val="99"/>
    <w:rsid w:val="00D126F5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126F5"/>
    <w:rPr>
      <w:rFonts w:ascii="Times New Roman" w:hAnsi="Times New Roman" w:cs="Times New Roman"/>
      <w:sz w:val="20"/>
      <w:szCs w:val="20"/>
      <w:lang w:val="nl-NL" w:eastAsia="nl-NL"/>
    </w:rPr>
  </w:style>
  <w:style w:type="paragraph" w:styleId="Altbilgi">
    <w:name w:val="footer"/>
    <w:basedOn w:val="Normal"/>
    <w:link w:val="AltbilgiChar"/>
    <w:uiPriority w:val="99"/>
    <w:rsid w:val="00D126F5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126F5"/>
    <w:rPr>
      <w:rFonts w:ascii="Times New Roman" w:hAnsi="Times New Roman" w:cs="Times New Roman"/>
      <w:sz w:val="20"/>
      <w:szCs w:val="20"/>
      <w:lang w:val="nl-NL" w:eastAsia="nl-NL"/>
    </w:rPr>
  </w:style>
  <w:style w:type="paragraph" w:customStyle="1" w:styleId="Paginanummering">
    <w:name w:val="Paginanummering"/>
    <w:basedOn w:val="Altbilgi"/>
    <w:uiPriority w:val="99"/>
    <w:rsid w:val="00D126F5"/>
    <w:pPr>
      <w:jc w:val="right"/>
    </w:pPr>
  </w:style>
  <w:style w:type="paragraph" w:customStyle="1" w:styleId="NormalmetGedruktetekst">
    <w:name w:val="Normal met Gedrukte tekst"/>
    <w:basedOn w:val="Normal"/>
    <w:uiPriority w:val="99"/>
    <w:rsid w:val="00D126F5"/>
    <w:pPr>
      <w:tabs>
        <w:tab w:val="left" w:pos="0"/>
      </w:tabs>
      <w:ind w:hanging="958"/>
    </w:pPr>
  </w:style>
  <w:style w:type="character" w:styleId="Kpr">
    <w:name w:val="Hyperlink"/>
    <w:basedOn w:val="VarsaylanParagrafYazTipi"/>
    <w:uiPriority w:val="99"/>
    <w:rsid w:val="00D126F5"/>
    <w:rPr>
      <w:rFonts w:cs="Times New Roman"/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D126F5"/>
    <w:pPr>
      <w:spacing w:before="100" w:after="100" w:line="240" w:lineRule="auto"/>
    </w:pPr>
    <w:rPr>
      <w:sz w:val="24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D126F5"/>
    <w:pPr>
      <w:spacing w:line="240" w:lineRule="auto"/>
      <w:jc w:val="center"/>
    </w:pPr>
    <w:rPr>
      <w:b/>
      <w:sz w:val="28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D126F5"/>
    <w:rPr>
      <w:rFonts w:ascii="Times New Roman" w:hAnsi="Times New Roman" w:cs="Times New Roman"/>
      <w:b/>
      <w:sz w:val="20"/>
      <w:szCs w:val="20"/>
      <w:lang w:val="nl-NL" w:eastAsia="nl-NL"/>
    </w:rPr>
  </w:style>
  <w:style w:type="character" w:styleId="SayfaNumaras">
    <w:name w:val="page number"/>
    <w:basedOn w:val="VarsaylanParagrafYazTipi"/>
    <w:uiPriority w:val="99"/>
    <w:rsid w:val="00D126F5"/>
    <w:rPr>
      <w:rFonts w:cs="Times New Roman"/>
    </w:rPr>
  </w:style>
  <w:style w:type="character" w:customStyle="1" w:styleId="abafah1">
    <w:name w:val="abafah1"/>
    <w:basedOn w:val="VarsaylanParagrafYazTipi"/>
    <w:uiPriority w:val="99"/>
    <w:rsid w:val="00D126F5"/>
    <w:rPr>
      <w:rFonts w:ascii="Verdana" w:hAnsi="Verdana" w:cs="Times New Roman"/>
      <w:color w:val="000000"/>
      <w:sz w:val="13"/>
      <w:szCs w:val="13"/>
    </w:rPr>
  </w:style>
  <w:style w:type="paragraph" w:styleId="SonnotMetni">
    <w:name w:val="endnote text"/>
    <w:basedOn w:val="Normal"/>
    <w:link w:val="SonnotMetniChar"/>
    <w:uiPriority w:val="99"/>
    <w:semiHidden/>
    <w:rsid w:val="00CB637B"/>
    <w:pPr>
      <w:spacing w:line="240" w:lineRule="auto"/>
    </w:pPr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CB637B"/>
    <w:rPr>
      <w:rFonts w:ascii="Times New Roman" w:hAnsi="Times New Roman" w:cs="Times New Roman"/>
      <w:sz w:val="20"/>
      <w:szCs w:val="20"/>
      <w:lang w:val="nl-NL" w:eastAsia="nl-NL"/>
    </w:rPr>
  </w:style>
  <w:style w:type="character" w:styleId="SonnotBavurusu">
    <w:name w:val="endnote reference"/>
    <w:basedOn w:val="VarsaylanParagrafYazTipi"/>
    <w:uiPriority w:val="99"/>
    <w:semiHidden/>
    <w:rsid w:val="00CB637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CB6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B637B"/>
    <w:rPr>
      <w:rFonts w:ascii="Tahoma" w:hAnsi="Tahoma" w:cs="Tahoma"/>
      <w:sz w:val="16"/>
      <w:szCs w:val="16"/>
      <w:lang w:val="nl-NL" w:eastAsia="nl-NL"/>
    </w:rPr>
  </w:style>
  <w:style w:type="paragraph" w:styleId="ListeParagraf">
    <w:name w:val="List Paragraph"/>
    <w:basedOn w:val="Normal"/>
    <w:uiPriority w:val="34"/>
    <w:qFormat/>
    <w:rsid w:val="004F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F5"/>
    <w:pPr>
      <w:spacing w:line="280" w:lineRule="exact"/>
    </w:pPr>
    <w:rPr>
      <w:rFonts w:ascii="Times New Roman" w:eastAsia="Times New Roman" w:hAnsi="Times New Roman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D126F5"/>
    <w:pPr>
      <w:keepNext/>
      <w:outlineLvl w:val="2"/>
    </w:pPr>
    <w:rPr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D126F5"/>
    <w:rPr>
      <w:rFonts w:ascii="Times New Roman" w:hAnsi="Times New Roman" w:cs="Times New Roman"/>
      <w:sz w:val="20"/>
      <w:szCs w:val="20"/>
      <w:lang w:val="en-US" w:eastAsia="nl-NL"/>
    </w:rPr>
  </w:style>
  <w:style w:type="paragraph" w:styleId="stbilgi">
    <w:name w:val="header"/>
    <w:basedOn w:val="Normal"/>
    <w:link w:val="stbilgiChar"/>
    <w:uiPriority w:val="99"/>
    <w:rsid w:val="00D126F5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126F5"/>
    <w:rPr>
      <w:rFonts w:ascii="Times New Roman" w:hAnsi="Times New Roman" w:cs="Times New Roman"/>
      <w:sz w:val="20"/>
      <w:szCs w:val="20"/>
      <w:lang w:val="nl-NL" w:eastAsia="nl-NL"/>
    </w:rPr>
  </w:style>
  <w:style w:type="paragraph" w:styleId="Altbilgi">
    <w:name w:val="footer"/>
    <w:basedOn w:val="Normal"/>
    <w:link w:val="AltbilgiChar"/>
    <w:uiPriority w:val="99"/>
    <w:rsid w:val="00D126F5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126F5"/>
    <w:rPr>
      <w:rFonts w:ascii="Times New Roman" w:hAnsi="Times New Roman" w:cs="Times New Roman"/>
      <w:sz w:val="20"/>
      <w:szCs w:val="20"/>
      <w:lang w:val="nl-NL" w:eastAsia="nl-NL"/>
    </w:rPr>
  </w:style>
  <w:style w:type="paragraph" w:customStyle="1" w:styleId="Paginanummering">
    <w:name w:val="Paginanummering"/>
    <w:basedOn w:val="Altbilgi"/>
    <w:uiPriority w:val="99"/>
    <w:rsid w:val="00D126F5"/>
    <w:pPr>
      <w:jc w:val="right"/>
    </w:pPr>
  </w:style>
  <w:style w:type="paragraph" w:customStyle="1" w:styleId="NormalmetGedruktetekst">
    <w:name w:val="Normal met Gedrukte tekst"/>
    <w:basedOn w:val="Normal"/>
    <w:uiPriority w:val="99"/>
    <w:rsid w:val="00D126F5"/>
    <w:pPr>
      <w:tabs>
        <w:tab w:val="left" w:pos="0"/>
      </w:tabs>
      <w:ind w:hanging="958"/>
    </w:pPr>
  </w:style>
  <w:style w:type="character" w:styleId="Kpr">
    <w:name w:val="Hyperlink"/>
    <w:basedOn w:val="VarsaylanParagrafYazTipi"/>
    <w:uiPriority w:val="99"/>
    <w:rsid w:val="00D126F5"/>
    <w:rPr>
      <w:rFonts w:cs="Times New Roman"/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D126F5"/>
    <w:pPr>
      <w:spacing w:before="100" w:after="100" w:line="240" w:lineRule="auto"/>
    </w:pPr>
    <w:rPr>
      <w:sz w:val="24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D126F5"/>
    <w:pPr>
      <w:spacing w:line="240" w:lineRule="auto"/>
      <w:jc w:val="center"/>
    </w:pPr>
    <w:rPr>
      <w:b/>
      <w:sz w:val="28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D126F5"/>
    <w:rPr>
      <w:rFonts w:ascii="Times New Roman" w:hAnsi="Times New Roman" w:cs="Times New Roman"/>
      <w:b/>
      <w:sz w:val="20"/>
      <w:szCs w:val="20"/>
      <w:lang w:val="nl-NL" w:eastAsia="nl-NL"/>
    </w:rPr>
  </w:style>
  <w:style w:type="character" w:styleId="SayfaNumaras">
    <w:name w:val="page number"/>
    <w:basedOn w:val="VarsaylanParagrafYazTipi"/>
    <w:uiPriority w:val="99"/>
    <w:rsid w:val="00D126F5"/>
    <w:rPr>
      <w:rFonts w:cs="Times New Roman"/>
    </w:rPr>
  </w:style>
  <w:style w:type="character" w:customStyle="1" w:styleId="abafah1">
    <w:name w:val="abafah1"/>
    <w:basedOn w:val="VarsaylanParagrafYazTipi"/>
    <w:uiPriority w:val="99"/>
    <w:rsid w:val="00D126F5"/>
    <w:rPr>
      <w:rFonts w:ascii="Verdana" w:hAnsi="Verdana" w:cs="Times New Roman"/>
      <w:color w:val="000000"/>
      <w:sz w:val="13"/>
      <w:szCs w:val="13"/>
    </w:rPr>
  </w:style>
  <w:style w:type="paragraph" w:styleId="SonnotMetni">
    <w:name w:val="endnote text"/>
    <w:basedOn w:val="Normal"/>
    <w:link w:val="SonnotMetniChar"/>
    <w:uiPriority w:val="99"/>
    <w:semiHidden/>
    <w:rsid w:val="00CB637B"/>
    <w:pPr>
      <w:spacing w:line="240" w:lineRule="auto"/>
    </w:pPr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CB637B"/>
    <w:rPr>
      <w:rFonts w:ascii="Times New Roman" w:hAnsi="Times New Roman" w:cs="Times New Roman"/>
      <w:sz w:val="20"/>
      <w:szCs w:val="20"/>
      <w:lang w:val="nl-NL" w:eastAsia="nl-NL"/>
    </w:rPr>
  </w:style>
  <w:style w:type="character" w:styleId="SonnotBavurusu">
    <w:name w:val="endnote reference"/>
    <w:basedOn w:val="VarsaylanParagrafYazTipi"/>
    <w:uiPriority w:val="99"/>
    <w:semiHidden/>
    <w:rsid w:val="00CB637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CB6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B637B"/>
    <w:rPr>
      <w:rFonts w:ascii="Tahoma" w:hAnsi="Tahoma" w:cs="Tahoma"/>
      <w:sz w:val="16"/>
      <w:szCs w:val="16"/>
      <w:lang w:val="nl-NL" w:eastAsia="nl-NL"/>
    </w:rPr>
  </w:style>
  <w:style w:type="paragraph" w:styleId="ListeParagraf">
    <w:name w:val="List Paragraph"/>
    <w:basedOn w:val="Normal"/>
    <w:uiPriority w:val="34"/>
    <w:qFormat/>
    <w:rsid w:val="004F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OZAN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tobb</cp:lastModifiedBy>
  <cp:revision>3</cp:revision>
  <cp:lastPrinted>2014-05-09T14:21:00Z</cp:lastPrinted>
  <dcterms:created xsi:type="dcterms:W3CDTF">2014-05-09T14:22:00Z</dcterms:created>
  <dcterms:modified xsi:type="dcterms:W3CDTF">2014-05-09T14:23:00Z</dcterms:modified>
</cp:coreProperties>
</file>