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B3" w:rsidRDefault="00A930B3" w:rsidP="00A930B3">
      <w:pPr>
        <w:rPr>
          <w:rFonts w:ascii="Times New Roman" w:hAnsi="Times New Roman" w:cs="Times New Roman"/>
          <w:sz w:val="24"/>
          <w:szCs w:val="24"/>
          <w:u w:val="single"/>
        </w:rPr>
      </w:pPr>
      <w:bookmarkStart w:id="0" w:name="_GoBack"/>
      <w:bookmarkEnd w:id="0"/>
      <w:r w:rsidRPr="00A930B3">
        <w:rPr>
          <w:rFonts w:ascii="Times New Roman" w:hAnsi="Times New Roman" w:cs="Times New Roman"/>
          <w:sz w:val="24"/>
          <w:szCs w:val="24"/>
          <w:u w:val="single"/>
        </w:rPr>
        <w:t>Çevre ve Şehircilik Bakanlığından:</w:t>
      </w:r>
    </w:p>
    <w:p w:rsidR="004740B3" w:rsidRPr="00A930B3" w:rsidRDefault="004740B3" w:rsidP="00A930B3">
      <w:pPr>
        <w:rPr>
          <w:rFonts w:ascii="Times New Roman" w:hAnsi="Times New Roman" w:cs="Times New Roman"/>
          <w:sz w:val="24"/>
          <w:szCs w:val="24"/>
          <w:u w:val="single"/>
        </w:rPr>
      </w:pPr>
    </w:p>
    <w:p w:rsidR="00A930B3" w:rsidRPr="00FB6BE1" w:rsidRDefault="00A930B3" w:rsidP="00A930B3">
      <w:pPr>
        <w:jc w:val="center"/>
        <w:rPr>
          <w:rFonts w:ascii="Times New Roman" w:hAnsi="Times New Roman" w:cs="Times New Roman"/>
          <w:b/>
          <w:sz w:val="24"/>
          <w:szCs w:val="24"/>
        </w:rPr>
      </w:pPr>
      <w:r w:rsidRPr="00FB6BE1">
        <w:rPr>
          <w:rFonts w:ascii="Times New Roman" w:hAnsi="Times New Roman" w:cs="Times New Roman"/>
          <w:b/>
          <w:sz w:val="24"/>
          <w:szCs w:val="24"/>
        </w:rPr>
        <w:t>ATIK ELEKTRİKLİ VE ELEKTRONİK EŞYALARIN KONTROLÜ YÖNETMELİĞİNDE DEĞİŞİKLİK YAPILMASINA DAİR YÖNETMELİK</w:t>
      </w:r>
    </w:p>
    <w:p w:rsidR="00A930B3" w:rsidRDefault="00A930B3" w:rsidP="00A930B3">
      <w:pPr>
        <w:rPr>
          <w:rFonts w:ascii="Times New Roman" w:hAnsi="Times New Roman" w:cs="Times New Roman"/>
          <w:sz w:val="24"/>
          <w:szCs w:val="24"/>
        </w:rPr>
      </w:pPr>
    </w:p>
    <w:p w:rsidR="008257F4" w:rsidRPr="00892A83" w:rsidRDefault="00A930B3" w:rsidP="008257F4">
      <w:pPr>
        <w:jc w:val="both"/>
        <w:rPr>
          <w:rFonts w:ascii="Times New Roman" w:hAnsi="Times New Roman" w:cs="Times New Roman"/>
          <w:b/>
          <w:sz w:val="24"/>
          <w:szCs w:val="24"/>
        </w:rPr>
      </w:pPr>
      <w:r w:rsidRPr="00892A83">
        <w:rPr>
          <w:rFonts w:ascii="Times New Roman" w:hAnsi="Times New Roman" w:cs="Times New Roman"/>
          <w:b/>
          <w:sz w:val="24"/>
          <w:szCs w:val="24"/>
        </w:rPr>
        <w:t>MADDE 1</w:t>
      </w:r>
      <w:r w:rsidRPr="00892A83">
        <w:rPr>
          <w:rFonts w:ascii="Times New Roman" w:hAnsi="Times New Roman" w:cs="Times New Roman"/>
          <w:sz w:val="24"/>
          <w:szCs w:val="24"/>
        </w:rPr>
        <w:t xml:space="preserve"> – 22.05.2012 tarihli ve 28300 sayılı Resmî Gazetede yayımlanan </w:t>
      </w:r>
      <w:r w:rsidR="00BA46AE" w:rsidRPr="00892A83">
        <w:rPr>
          <w:rFonts w:ascii="Times New Roman" w:hAnsi="Times New Roman" w:cs="Times New Roman"/>
          <w:sz w:val="24"/>
          <w:szCs w:val="24"/>
        </w:rPr>
        <w:t>Atık Elektrikli</w:t>
      </w:r>
      <w:r w:rsidRPr="00892A83">
        <w:rPr>
          <w:rFonts w:ascii="Times New Roman" w:hAnsi="Times New Roman" w:cs="Times New Roman"/>
          <w:sz w:val="24"/>
          <w:szCs w:val="24"/>
        </w:rPr>
        <w:t xml:space="preserve"> ve Elektronik Eşyaların Kontrolü Yönetmeliğinin </w:t>
      </w:r>
      <w:r w:rsidR="008257F4" w:rsidRPr="00892A83">
        <w:rPr>
          <w:rFonts w:ascii="Times New Roman" w:hAnsi="Times New Roman" w:cs="Times New Roman"/>
          <w:b/>
          <w:sz w:val="24"/>
          <w:szCs w:val="24"/>
        </w:rPr>
        <w:t>4 üncü maddesinin birinci fıkrasının (b), (ç), (d), (h), (ı), (i), (j), (n), (r), (ş) bentleri aşağıdaki şekilde değiştirilmiş (t) ve (u) bentleri eklenmiştir.</w:t>
      </w:r>
    </w:p>
    <w:p w:rsidR="008257F4" w:rsidRPr="00892A83" w:rsidRDefault="008257F4" w:rsidP="008257F4">
      <w:pPr>
        <w:tabs>
          <w:tab w:val="left" w:pos="566"/>
        </w:tabs>
        <w:spacing w:line="240" w:lineRule="exact"/>
        <w:jc w:val="both"/>
        <w:rPr>
          <w:rFonts w:ascii="Times New Roman" w:hAnsi="Times New Roman" w:cs="Times New Roman"/>
          <w:b/>
          <w:sz w:val="24"/>
          <w:szCs w:val="24"/>
        </w:rPr>
      </w:pPr>
      <w:r w:rsidRPr="00892A83">
        <w:rPr>
          <w:rFonts w:ascii="Times New Roman" w:hAnsi="Times New Roman" w:cs="Times New Roman"/>
          <w:b/>
          <w:sz w:val="24"/>
          <w:szCs w:val="24"/>
        </w:rPr>
        <w:t>Tanımlar ve kısaltmalar</w:t>
      </w:r>
    </w:p>
    <w:p w:rsidR="008257F4" w:rsidRPr="00892A83" w:rsidRDefault="008257F4" w:rsidP="008257F4">
      <w:pPr>
        <w:tabs>
          <w:tab w:val="left" w:pos="566"/>
        </w:tabs>
        <w:spacing w:line="240" w:lineRule="exact"/>
        <w:jc w:val="both"/>
        <w:rPr>
          <w:rFonts w:ascii="Times New Roman" w:hAnsi="Times New Roman" w:cs="Times New Roman"/>
          <w:sz w:val="24"/>
          <w:szCs w:val="24"/>
        </w:rPr>
      </w:pPr>
      <w:r w:rsidRPr="00892A83">
        <w:rPr>
          <w:rFonts w:ascii="Times New Roman" w:hAnsi="Times New Roman" w:cs="Times New Roman"/>
          <w:b/>
          <w:sz w:val="24"/>
          <w:szCs w:val="24"/>
        </w:rPr>
        <w:t>MADDE 4 –</w:t>
      </w:r>
      <w:r w:rsidRPr="00892A83">
        <w:rPr>
          <w:rFonts w:ascii="Times New Roman" w:hAnsi="Times New Roman" w:cs="Times New Roman"/>
          <w:sz w:val="24"/>
          <w:szCs w:val="24"/>
        </w:rPr>
        <w:t xml:space="preserve"> (1) Bu Yönetmelikte geçen;</w:t>
      </w:r>
    </w:p>
    <w:p w:rsidR="008257F4" w:rsidRPr="00D80BD6" w:rsidRDefault="008257F4" w:rsidP="008257F4">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 xml:space="preserve">b) Atık elektrikli ve elektronik eşya (AEEE): </w:t>
      </w:r>
      <w:proofErr w:type="gramStart"/>
      <w:r w:rsidRPr="00D80BD6">
        <w:rPr>
          <w:rFonts w:ascii="Times New Roman" w:hAnsi="Times New Roman" w:cs="Times New Roman"/>
          <w:sz w:val="24"/>
          <w:szCs w:val="24"/>
        </w:rPr>
        <w:t>2/4/2015</w:t>
      </w:r>
      <w:proofErr w:type="gramEnd"/>
      <w:r w:rsidRPr="00D80BD6">
        <w:rPr>
          <w:rFonts w:ascii="Times New Roman" w:hAnsi="Times New Roman" w:cs="Times New Roman"/>
          <w:sz w:val="24"/>
          <w:szCs w:val="24"/>
        </w:rPr>
        <w:t xml:space="preserve"> tarihli ve 29314 sayılı Resmî </w:t>
      </w:r>
      <w:proofErr w:type="spellStart"/>
      <w:r w:rsidRPr="00D80BD6">
        <w:rPr>
          <w:rFonts w:ascii="Times New Roman" w:hAnsi="Times New Roman" w:cs="Times New Roman"/>
          <w:sz w:val="24"/>
          <w:szCs w:val="24"/>
        </w:rPr>
        <w:t>Gazete’de</w:t>
      </w:r>
      <w:proofErr w:type="spellEnd"/>
      <w:r w:rsidRPr="00D80BD6">
        <w:rPr>
          <w:rFonts w:ascii="Times New Roman" w:hAnsi="Times New Roman" w:cs="Times New Roman"/>
          <w:sz w:val="24"/>
          <w:szCs w:val="24"/>
        </w:rPr>
        <w:t xml:space="preserve"> yayımlanan Atık Yönetimi Yönetmeliğinde yer alan atık tanımına uygun ve Ek-1/A’da tanımlanan kategorilerde yer alan ürünlerin kullanım ömrü dolduğu andaki bütün bileşenlerini ve unsurlarını,</w:t>
      </w:r>
    </w:p>
    <w:p w:rsidR="008257F4" w:rsidRPr="00D80BD6" w:rsidRDefault="008257F4" w:rsidP="008257F4">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ç) Bertaraf: İkincil amacı enerji kazanımı olsa dahi geri kazanım olarak kabul edilmeyen ve Atık Yönetimi Yönetmeliğinin Ek-2A’sında yer alan işlemlerden herhangi birini,</w:t>
      </w:r>
    </w:p>
    <w:p w:rsidR="008257F4" w:rsidRPr="00D80BD6" w:rsidRDefault="008257F4" w:rsidP="008257F4">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 xml:space="preserve">d) Çevre lisansı: </w:t>
      </w:r>
      <w:proofErr w:type="gramStart"/>
      <w:r w:rsidRPr="00D80BD6">
        <w:rPr>
          <w:rFonts w:ascii="Times New Roman" w:hAnsi="Times New Roman" w:cs="Times New Roman"/>
          <w:sz w:val="24"/>
          <w:szCs w:val="24"/>
        </w:rPr>
        <w:t>10/9/2014</w:t>
      </w:r>
      <w:proofErr w:type="gramEnd"/>
      <w:r w:rsidRPr="00D80BD6">
        <w:rPr>
          <w:rFonts w:ascii="Times New Roman" w:hAnsi="Times New Roman" w:cs="Times New Roman"/>
          <w:sz w:val="24"/>
          <w:szCs w:val="24"/>
        </w:rPr>
        <w:t xml:space="preserve"> tarihli ve 29115 sayılı Resmî </w:t>
      </w:r>
      <w:proofErr w:type="spellStart"/>
      <w:r w:rsidRPr="00D80BD6">
        <w:rPr>
          <w:rFonts w:ascii="Times New Roman" w:hAnsi="Times New Roman" w:cs="Times New Roman"/>
          <w:sz w:val="24"/>
          <w:szCs w:val="24"/>
        </w:rPr>
        <w:t>Gazete’de</w:t>
      </w:r>
      <w:proofErr w:type="spellEnd"/>
      <w:r w:rsidRPr="00D80BD6">
        <w:rPr>
          <w:rFonts w:ascii="Times New Roman" w:hAnsi="Times New Roman" w:cs="Times New Roman"/>
          <w:sz w:val="24"/>
          <w:szCs w:val="24"/>
        </w:rPr>
        <w:t xml:space="preserve"> yayımlanan Çevre İzin ve Lisans Yönetmeliğinde düzenlenen geçici faaliyet belgesi/çevre izin ve lisansı belgesini kapsayan lisansı,</w:t>
      </w:r>
    </w:p>
    <w:p w:rsidR="008257F4" w:rsidRPr="00D80BD6" w:rsidRDefault="008257F4" w:rsidP="008257F4">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h) Geçici depolama: Atıkların, atık üreticisi tarafından işleme tesislerine ulaştırılmadan önce üretildikleri yerde güvenli bir şekilde bekletilmesini,</w:t>
      </w:r>
    </w:p>
    <w:p w:rsidR="008257F4" w:rsidRPr="00D80BD6" w:rsidRDefault="008257F4" w:rsidP="008257F4">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ı) Geri dönüşüm: Atıkların işlenerek asıl kullanım amacı ya da diğer amaçlar doğrultusunda ürünlere, malzemelere ya da maddelere dönüştürüldüğü herhangi bir geri kazanım işlemini,</w:t>
      </w:r>
    </w:p>
    <w:p w:rsidR="008257F4" w:rsidRPr="00D80BD6" w:rsidRDefault="008257F4" w:rsidP="008257F4">
      <w:pPr>
        <w:pStyle w:val="metin"/>
        <w:spacing w:before="0" w:beforeAutospacing="0" w:after="0" w:afterAutospacing="0" w:line="240" w:lineRule="exact"/>
        <w:jc w:val="both"/>
      </w:pPr>
      <w:r w:rsidRPr="00D80BD6">
        <w:t>i) Geri kazanım:  Piyasada ya da bir tesiste kullanılan maddelerin yerine ikame edilmek üzere atıkların faydalı bir amaç için kullanıma hazır hale getirilmesinde yer alan ve Atık Yönetimi Yönetmeliğinin Ek-2B’sinde listelenen işlemleri,</w:t>
      </w:r>
    </w:p>
    <w:p w:rsidR="008257F4" w:rsidRPr="00D80BD6" w:rsidRDefault="008257F4" w:rsidP="008257F4">
      <w:pPr>
        <w:pStyle w:val="metin"/>
        <w:spacing w:before="0" w:beforeAutospacing="0" w:after="0" w:afterAutospacing="0" w:line="240" w:lineRule="exact"/>
        <w:jc w:val="both"/>
      </w:pPr>
      <w:r w:rsidRPr="00D80BD6">
        <w:t xml:space="preserve">j) Atık getirme merkezi: Kaynağında ayrı toplanan atıkların geri kazanıma ve/veya </w:t>
      </w:r>
      <w:proofErr w:type="spellStart"/>
      <w:r w:rsidRPr="00D80BD6">
        <w:t>bertarafa</w:t>
      </w:r>
      <w:proofErr w:type="spellEnd"/>
      <w:r w:rsidRPr="00D80BD6">
        <w:t xml:space="preserve"> gönderilmesi amacıyla bırakıldığı ve 31.12.2014 tarih ve 29222 (4.mükerrer) sayılı Resmi </w:t>
      </w:r>
      <w:proofErr w:type="spellStart"/>
      <w:r w:rsidRPr="00D80BD6">
        <w:t>Gazete’de</w:t>
      </w:r>
      <w:proofErr w:type="spellEnd"/>
      <w:r w:rsidRPr="00D80BD6">
        <w:t xml:space="preserve"> yayımlanan Atık Getirme Merkezi Tebliği’nde tanımlanan merkezleri,</w:t>
      </w:r>
    </w:p>
    <w:p w:rsidR="00781CD9" w:rsidRPr="00892A83" w:rsidRDefault="00781CD9" w:rsidP="008257F4">
      <w:pPr>
        <w:pStyle w:val="metin"/>
        <w:spacing w:before="0" w:beforeAutospacing="0" w:after="0" w:afterAutospacing="0" w:line="240" w:lineRule="exact"/>
        <w:jc w:val="both"/>
        <w:rPr>
          <w:b/>
          <w:color w:val="0070C0"/>
        </w:rPr>
      </w:pPr>
    </w:p>
    <w:p w:rsidR="00781CD9" w:rsidRPr="00D80BD6" w:rsidRDefault="00781CD9" w:rsidP="00781CD9">
      <w:pPr>
        <w:spacing w:line="240" w:lineRule="atLeast"/>
        <w:jc w:val="both"/>
        <w:rPr>
          <w:rFonts w:ascii="Times New Roman" w:hAnsi="Times New Roman" w:cs="Times New Roman"/>
          <w:sz w:val="24"/>
          <w:szCs w:val="24"/>
        </w:rPr>
      </w:pPr>
      <w:r w:rsidRPr="00892A83">
        <w:rPr>
          <w:rFonts w:ascii="Times New Roman" w:hAnsi="Times New Roman" w:cs="Times New Roman"/>
          <w:sz w:val="24"/>
          <w:szCs w:val="24"/>
        </w:rPr>
        <w:t xml:space="preserve">n) Önleme: </w:t>
      </w:r>
      <w:r w:rsidRPr="00D80BD6">
        <w:rPr>
          <w:rFonts w:ascii="Times New Roman" w:hAnsi="Times New Roman" w:cs="Times New Roman"/>
          <w:sz w:val="24"/>
          <w:szCs w:val="24"/>
        </w:rPr>
        <w:t xml:space="preserve">Elektrikli ve elektronik eşyaların yeniden kullanılması veya kullanım ömürlerinin uzatılması ile atık miktarının azaltılması, elektrikli ve elektronik eşya üretiminde zararlı maddelerin </w:t>
      </w:r>
      <w:proofErr w:type="spellStart"/>
      <w:r w:rsidRPr="00D80BD6">
        <w:rPr>
          <w:rFonts w:ascii="Times New Roman" w:hAnsi="Times New Roman" w:cs="Times New Roman"/>
          <w:sz w:val="24"/>
          <w:szCs w:val="24"/>
        </w:rPr>
        <w:t>azaltımı</w:t>
      </w:r>
      <w:proofErr w:type="spellEnd"/>
      <w:r w:rsidRPr="00D80BD6">
        <w:rPr>
          <w:rFonts w:ascii="Times New Roman" w:hAnsi="Times New Roman" w:cs="Times New Roman"/>
          <w:sz w:val="24"/>
          <w:szCs w:val="24"/>
        </w:rPr>
        <w:t xml:space="preserve"> ve üretilen atığın çevre ve insan sağlığı üzerindeki olumsuz etkilerinin en aza indirilmesine ilişkin elektrikli ve elektronik eşya atık haline gelmeden önce alınacak tedbirleri,</w:t>
      </w:r>
    </w:p>
    <w:p w:rsidR="00EC7345" w:rsidRPr="00D80BD6" w:rsidRDefault="00EC7345" w:rsidP="00EC7345">
      <w:pPr>
        <w:tabs>
          <w:tab w:val="left" w:pos="566"/>
        </w:tabs>
        <w:spacing w:line="240" w:lineRule="exact"/>
        <w:jc w:val="both"/>
        <w:rPr>
          <w:rFonts w:ascii="Times New Roman" w:hAnsi="Times New Roman" w:cs="Times New Roman"/>
          <w:sz w:val="24"/>
          <w:szCs w:val="24"/>
          <w:highlight w:val="yellow"/>
        </w:rPr>
      </w:pPr>
      <w:r w:rsidRPr="00D80BD6">
        <w:rPr>
          <w:rFonts w:ascii="Times New Roman" w:hAnsi="Times New Roman" w:cs="Times New Roman"/>
          <w:sz w:val="24"/>
          <w:szCs w:val="24"/>
        </w:rPr>
        <w:t xml:space="preserve">r) Üretici:  </w:t>
      </w:r>
      <w:proofErr w:type="gramStart"/>
      <w:r w:rsidRPr="00D80BD6">
        <w:rPr>
          <w:rFonts w:ascii="Times New Roman" w:hAnsi="Times New Roman" w:cs="Times New Roman"/>
          <w:sz w:val="24"/>
          <w:szCs w:val="24"/>
        </w:rPr>
        <w:t>27/11/2014</w:t>
      </w:r>
      <w:proofErr w:type="gramEnd"/>
      <w:r w:rsidRPr="00D80BD6">
        <w:rPr>
          <w:rFonts w:ascii="Times New Roman" w:hAnsi="Times New Roman" w:cs="Times New Roman"/>
          <w:sz w:val="24"/>
          <w:szCs w:val="24"/>
        </w:rPr>
        <w:t xml:space="preserve"> tarihli ve 29188 sayılı Resmî </w:t>
      </w:r>
      <w:proofErr w:type="spellStart"/>
      <w:r w:rsidRPr="00D80BD6">
        <w:rPr>
          <w:rFonts w:ascii="Times New Roman" w:hAnsi="Times New Roman" w:cs="Times New Roman"/>
          <w:sz w:val="24"/>
          <w:szCs w:val="24"/>
        </w:rPr>
        <w:t>Gazete’de</w:t>
      </w:r>
      <w:proofErr w:type="spellEnd"/>
      <w:r w:rsidRPr="00D80BD6">
        <w:rPr>
          <w:rFonts w:ascii="Times New Roman" w:hAnsi="Times New Roman" w:cs="Times New Roman"/>
          <w:sz w:val="24"/>
          <w:szCs w:val="24"/>
        </w:rPr>
        <w:t xml:space="preserve"> yayımlanan Mesafeli Sözleşmeler Yönetmeliği kapsamındaki mesafeli sözleşmeler ile yapılan satışlar da dâhil olmak üzere, satış yöntemine bağlı olmaksızın;</w:t>
      </w:r>
      <w:r w:rsidRPr="00D80BD6">
        <w:rPr>
          <w:rFonts w:ascii="Times New Roman" w:hAnsi="Times New Roman" w:cs="Times New Roman"/>
          <w:sz w:val="24"/>
          <w:szCs w:val="24"/>
          <w:highlight w:val="yellow"/>
        </w:rPr>
        <w:t xml:space="preserve"> </w:t>
      </w:r>
    </w:p>
    <w:p w:rsidR="003029E4" w:rsidRPr="00D80BD6" w:rsidRDefault="008D1601" w:rsidP="003029E4">
      <w:pPr>
        <w:tabs>
          <w:tab w:val="left" w:pos="566"/>
        </w:tabs>
        <w:spacing w:line="240" w:lineRule="exact"/>
        <w:jc w:val="both"/>
        <w:rPr>
          <w:rFonts w:ascii="Times New Roman" w:hAnsi="Times New Roman" w:cs="Times New Roman"/>
          <w:sz w:val="24"/>
          <w:szCs w:val="24"/>
        </w:rPr>
      </w:pPr>
      <w:proofErr w:type="gramStart"/>
      <w:r w:rsidRPr="00D80BD6">
        <w:rPr>
          <w:rFonts w:ascii="Times New Roman" w:hAnsi="Times New Roman" w:cs="Times New Roman"/>
          <w:sz w:val="24"/>
          <w:szCs w:val="24"/>
        </w:rPr>
        <w:t xml:space="preserve">ş) </w:t>
      </w:r>
      <w:r w:rsidR="003029E4" w:rsidRPr="00D80BD6">
        <w:rPr>
          <w:rFonts w:ascii="Times New Roman" w:hAnsi="Times New Roman" w:cs="Times New Roman"/>
          <w:sz w:val="24"/>
          <w:szCs w:val="24"/>
        </w:rPr>
        <w:t xml:space="preserve">Yetkilendirilmiş kuruluş (YK): Üretici, ithalatçı ve piyasaya sürenlerin sorumluluğu kapsamında yükümlülük getirilen üreticiler, ithalatçılar ve piyasaya sürenler, ürünlerinin faydalı kullanım ömrü sonucunda oluşan atıklarının toplanması, taşınması, geri kazanımı, geri dönüşümü ve bertaraf edilmelerine dair yükümlülüklerinin yerine getirilmesi ve bunlara </w:t>
      </w:r>
      <w:r w:rsidR="003029E4" w:rsidRPr="00D80BD6">
        <w:rPr>
          <w:rFonts w:ascii="Times New Roman" w:hAnsi="Times New Roman" w:cs="Times New Roman"/>
          <w:sz w:val="24"/>
          <w:szCs w:val="24"/>
        </w:rPr>
        <w:lastRenderedPageBreak/>
        <w:t>yönelik gerekli harcamalarının karşılanması, eğitim faaliyetlerinin gerçekleştirilmesi amacıyla Bakanlığın koordinasyonunda bir araya gelerek oluşturdukları tüzel kişiliği haiz birlikleri,</w:t>
      </w:r>
      <w:proofErr w:type="gramEnd"/>
    </w:p>
    <w:p w:rsidR="003029E4" w:rsidRPr="00D80BD6" w:rsidRDefault="003029E4" w:rsidP="003029E4">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t) Elektrikli ve Elektronik Eşya ve Atık Elektrikli ve Elektronik Eşya (EEE ve AEEE Bilgi Sistemi) Bilgi Sistemi: Bakanlık tarafından oluşturulan, üreticilerin, işleme tesisleri, belediyeler ve yetkilendirilmiş kuruluşların, EEE ve AEEE yönetimine ilişkin beyan ve bilgileri kaydedeceği sistemi,</w:t>
      </w:r>
    </w:p>
    <w:p w:rsidR="003029E4" w:rsidRPr="00892A83" w:rsidRDefault="003029E4" w:rsidP="003029E4">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u) Ulusal Atık Taşıma Formu (UATF):</w:t>
      </w:r>
      <w:r w:rsidRPr="00D80BD6">
        <w:rPr>
          <w:rFonts w:ascii="Times New Roman" w:hAnsi="Times New Roman" w:cs="Times New Roman"/>
          <w:b/>
          <w:sz w:val="24"/>
          <w:szCs w:val="24"/>
        </w:rPr>
        <w:t xml:space="preserve"> </w:t>
      </w:r>
      <w:r w:rsidR="002E2D30" w:rsidRPr="0097690E">
        <w:rPr>
          <w:rFonts w:ascii="Times New Roman" w:hAnsi="Times New Roman" w:cs="Times New Roman"/>
          <w:b/>
          <w:color w:val="FF0000"/>
          <w:sz w:val="24"/>
          <w:szCs w:val="24"/>
        </w:rPr>
        <w:t>Atık elektrikli ve elektronik eşyanın tehlikeli olup olmadığına bakılmaksızın</w:t>
      </w:r>
      <w:r w:rsidR="002E2D30" w:rsidRPr="00892A83">
        <w:rPr>
          <w:rFonts w:ascii="Times New Roman" w:hAnsi="Times New Roman" w:cs="Times New Roman"/>
          <w:b/>
          <w:color w:val="0070C0"/>
          <w:sz w:val="24"/>
          <w:szCs w:val="24"/>
        </w:rPr>
        <w:t>,</w:t>
      </w:r>
      <w:r w:rsidRPr="00892A83">
        <w:rPr>
          <w:rFonts w:ascii="Times New Roman" w:hAnsi="Times New Roman" w:cs="Times New Roman"/>
          <w:b/>
          <w:color w:val="0070C0"/>
          <w:sz w:val="24"/>
          <w:szCs w:val="24"/>
        </w:rPr>
        <w:t xml:space="preserve"> </w:t>
      </w:r>
      <w:r w:rsidRPr="00D80BD6">
        <w:rPr>
          <w:rFonts w:ascii="Times New Roman" w:hAnsi="Times New Roman" w:cs="Times New Roman"/>
          <w:sz w:val="24"/>
          <w:szCs w:val="24"/>
        </w:rPr>
        <w:t>bulunduğu yerden atık işleme/bertaraf tesisine kadar taşıma işlemlerinde kullanılan, kayıt ve beyanları içeren formu,</w:t>
      </w:r>
    </w:p>
    <w:p w:rsidR="00781CD9" w:rsidRPr="00892A83" w:rsidRDefault="00781CD9" w:rsidP="008257F4">
      <w:pPr>
        <w:pStyle w:val="metin"/>
        <w:spacing w:before="0" w:beforeAutospacing="0" w:after="0" w:afterAutospacing="0" w:line="240" w:lineRule="exact"/>
        <w:jc w:val="both"/>
        <w:rPr>
          <w:b/>
          <w:color w:val="0070C0"/>
        </w:rPr>
      </w:pPr>
    </w:p>
    <w:p w:rsidR="000F17B2" w:rsidRPr="00892A83" w:rsidRDefault="000F17B2" w:rsidP="008257F4">
      <w:pPr>
        <w:jc w:val="both"/>
        <w:rPr>
          <w:rFonts w:ascii="Times New Roman" w:hAnsi="Times New Roman" w:cs="Times New Roman"/>
          <w:sz w:val="24"/>
          <w:szCs w:val="24"/>
        </w:rPr>
      </w:pPr>
    </w:p>
    <w:p w:rsidR="00755333" w:rsidRPr="00892A83" w:rsidRDefault="00095034" w:rsidP="00755333">
      <w:pPr>
        <w:tabs>
          <w:tab w:val="left" w:pos="566"/>
        </w:tabs>
        <w:spacing w:line="240" w:lineRule="exact"/>
        <w:jc w:val="both"/>
        <w:rPr>
          <w:rFonts w:ascii="Times New Roman" w:hAnsi="Times New Roman" w:cs="Times New Roman"/>
          <w:b/>
          <w:color w:val="000000"/>
          <w:sz w:val="24"/>
          <w:szCs w:val="24"/>
        </w:rPr>
      </w:pPr>
      <w:r w:rsidRPr="00892A83">
        <w:rPr>
          <w:rFonts w:ascii="Times New Roman" w:hAnsi="Times New Roman" w:cs="Times New Roman"/>
          <w:b/>
          <w:sz w:val="24"/>
          <w:szCs w:val="24"/>
        </w:rPr>
        <w:t>MADDE 2</w:t>
      </w:r>
      <w:r w:rsidR="00123B36" w:rsidRPr="00892A83">
        <w:rPr>
          <w:rFonts w:ascii="Times New Roman" w:hAnsi="Times New Roman" w:cs="Times New Roman"/>
          <w:sz w:val="24"/>
          <w:szCs w:val="24"/>
        </w:rPr>
        <w:t xml:space="preserve"> –</w:t>
      </w:r>
      <w:r w:rsidR="00123B36" w:rsidRPr="00D80BD6">
        <w:rPr>
          <w:rFonts w:ascii="Times New Roman" w:hAnsi="Times New Roman" w:cs="Times New Roman"/>
          <w:b/>
          <w:sz w:val="24"/>
          <w:szCs w:val="24"/>
        </w:rPr>
        <w:t>Aynı Yönetmeliğinin</w:t>
      </w:r>
      <w:r w:rsidR="00123B36" w:rsidRPr="00892A83">
        <w:rPr>
          <w:rFonts w:ascii="Times New Roman" w:hAnsi="Times New Roman" w:cs="Times New Roman"/>
          <w:sz w:val="24"/>
          <w:szCs w:val="24"/>
        </w:rPr>
        <w:t xml:space="preserve"> </w:t>
      </w:r>
      <w:r w:rsidR="00755333" w:rsidRPr="00892A83">
        <w:rPr>
          <w:rFonts w:ascii="Times New Roman" w:hAnsi="Times New Roman" w:cs="Times New Roman"/>
          <w:b/>
          <w:color w:val="000000"/>
          <w:sz w:val="24"/>
          <w:szCs w:val="24"/>
        </w:rPr>
        <w:t>5 inci maddesinin (ğ) bendi aşağıdaki şekilde değiştirilmiş dördüncü fıkra eklenmiştir.</w:t>
      </w:r>
    </w:p>
    <w:p w:rsidR="001F107F" w:rsidRPr="00892A83" w:rsidRDefault="001F107F" w:rsidP="001F107F">
      <w:pPr>
        <w:spacing w:line="240" w:lineRule="atLeast"/>
        <w:jc w:val="both"/>
        <w:rPr>
          <w:rFonts w:ascii="Times New Roman" w:hAnsi="Times New Roman" w:cs="Times New Roman"/>
          <w:color w:val="1C283D"/>
          <w:sz w:val="24"/>
          <w:szCs w:val="24"/>
        </w:rPr>
      </w:pPr>
      <w:r w:rsidRPr="00892A83">
        <w:rPr>
          <w:rFonts w:ascii="Times New Roman" w:hAnsi="Times New Roman" w:cs="Times New Roman"/>
          <w:sz w:val="24"/>
          <w:szCs w:val="24"/>
        </w:rPr>
        <w:t xml:space="preserve">ğ) EEE üretimi yapılan tesiste oluşan </w:t>
      </w:r>
      <w:proofErr w:type="spellStart"/>
      <w:r w:rsidRPr="00892A83">
        <w:rPr>
          <w:rFonts w:ascii="Times New Roman" w:hAnsi="Times New Roman" w:cs="Times New Roman"/>
          <w:sz w:val="24"/>
          <w:szCs w:val="24"/>
        </w:rPr>
        <w:t>AEEE’lerin</w:t>
      </w:r>
      <w:proofErr w:type="spellEnd"/>
      <w:r w:rsidRPr="00892A83">
        <w:rPr>
          <w:rFonts w:ascii="Times New Roman" w:hAnsi="Times New Roman" w:cs="Times New Roman"/>
          <w:sz w:val="24"/>
          <w:szCs w:val="24"/>
        </w:rPr>
        <w:t xml:space="preserve"> işlenmesi amacıyla üretim yerinde kurulan üniteler için çevre lisansı şartı aranmaz. Bu ünitelerde işleme faaliyeti bu Yönetmelikte belirtilen </w:t>
      </w:r>
      <w:proofErr w:type="gramStart"/>
      <w:r w:rsidRPr="00892A83">
        <w:rPr>
          <w:rFonts w:ascii="Times New Roman" w:hAnsi="Times New Roman" w:cs="Times New Roman"/>
          <w:sz w:val="24"/>
          <w:szCs w:val="24"/>
        </w:rPr>
        <w:t>kriterlere</w:t>
      </w:r>
      <w:proofErr w:type="gramEnd"/>
      <w:r w:rsidRPr="00892A83">
        <w:rPr>
          <w:rFonts w:ascii="Times New Roman" w:hAnsi="Times New Roman" w:cs="Times New Roman"/>
          <w:sz w:val="24"/>
          <w:szCs w:val="24"/>
        </w:rPr>
        <w:t xml:space="preserve"> uygun olarak gerçekleştirilir. EEE üretimi yapılan tesislerde oluşan </w:t>
      </w:r>
      <w:proofErr w:type="spellStart"/>
      <w:r w:rsidRPr="00892A83">
        <w:rPr>
          <w:rFonts w:ascii="Times New Roman" w:hAnsi="Times New Roman" w:cs="Times New Roman"/>
          <w:sz w:val="24"/>
          <w:szCs w:val="24"/>
        </w:rPr>
        <w:t>AEEE’lerin</w:t>
      </w:r>
      <w:proofErr w:type="spellEnd"/>
      <w:r w:rsidRPr="00892A83">
        <w:rPr>
          <w:rFonts w:ascii="Times New Roman" w:hAnsi="Times New Roman" w:cs="Times New Roman"/>
          <w:sz w:val="24"/>
          <w:szCs w:val="24"/>
        </w:rPr>
        <w:t xml:space="preserve"> geçici </w:t>
      </w:r>
      <w:r w:rsidRPr="00D80BD6">
        <w:rPr>
          <w:rFonts w:ascii="Times New Roman" w:hAnsi="Times New Roman" w:cs="Times New Roman"/>
          <w:sz w:val="24"/>
          <w:szCs w:val="24"/>
        </w:rPr>
        <w:t>depolanması durumunda depolama zemininin sızdırmazlığının sağlanması ve geçici depolama amacıyla kullanılan sahanın üzerinin yağmura karşı korunaklı olacak şekilde kapatılması gerekmektedir.</w:t>
      </w:r>
      <w:r w:rsidRPr="00892A83">
        <w:rPr>
          <w:rFonts w:ascii="Times New Roman" w:hAnsi="Times New Roman" w:cs="Times New Roman"/>
          <w:color w:val="1C283D"/>
          <w:sz w:val="24"/>
          <w:szCs w:val="24"/>
        </w:rPr>
        <w:t xml:space="preserve"> </w:t>
      </w:r>
      <w:r w:rsidRPr="00892A83">
        <w:rPr>
          <w:rFonts w:ascii="Times New Roman" w:hAnsi="Times New Roman" w:cs="Times New Roman"/>
          <w:sz w:val="24"/>
          <w:szCs w:val="24"/>
        </w:rPr>
        <w:t>Üretim yerlerinde kurulacak olan işleme üniteleri ile geçici depolama alanları için ilgili çevre ve şehircilik il müdürlüğünden uygunluk yazısı alınması zorunludur.</w:t>
      </w:r>
    </w:p>
    <w:p w:rsidR="00CB7573" w:rsidRPr="00D80BD6" w:rsidRDefault="00CB7573" w:rsidP="00CB7573">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 xml:space="preserve">(4) Atık elektrikli ve elektronik eşyalar ile birlikte toplanan atık pil ve akümülatörler, eşyalardan ayrıldıktan sonra </w:t>
      </w:r>
      <w:proofErr w:type="gramStart"/>
      <w:r w:rsidRPr="00D80BD6">
        <w:rPr>
          <w:rFonts w:ascii="Times New Roman" w:hAnsi="Times New Roman" w:cs="Times New Roman"/>
          <w:sz w:val="24"/>
          <w:szCs w:val="24"/>
        </w:rPr>
        <w:t>31/8/2004</w:t>
      </w:r>
      <w:proofErr w:type="gramEnd"/>
      <w:r w:rsidRPr="00D80BD6">
        <w:rPr>
          <w:rFonts w:ascii="Times New Roman" w:hAnsi="Times New Roman" w:cs="Times New Roman"/>
          <w:sz w:val="24"/>
          <w:szCs w:val="24"/>
        </w:rPr>
        <w:t xml:space="preserve"> tarih ve 25569 sayılı Resmî </w:t>
      </w:r>
      <w:proofErr w:type="spellStart"/>
      <w:r w:rsidRPr="00D80BD6">
        <w:rPr>
          <w:rFonts w:ascii="Times New Roman" w:hAnsi="Times New Roman" w:cs="Times New Roman"/>
          <w:sz w:val="24"/>
          <w:szCs w:val="24"/>
        </w:rPr>
        <w:t>Gazete’de</w:t>
      </w:r>
      <w:proofErr w:type="spellEnd"/>
      <w:r w:rsidRPr="00D80BD6">
        <w:rPr>
          <w:rFonts w:ascii="Times New Roman" w:hAnsi="Times New Roman" w:cs="Times New Roman"/>
          <w:sz w:val="24"/>
          <w:szCs w:val="24"/>
        </w:rPr>
        <w:t xml:space="preserve"> yayımlanan Atık Pil ve Akümülatörlerin Kontrolü Yönetmeliği kapsamında işleme tabi tutulur.</w:t>
      </w:r>
    </w:p>
    <w:p w:rsidR="00D80BD6" w:rsidRDefault="00D80BD6" w:rsidP="00755333">
      <w:pPr>
        <w:tabs>
          <w:tab w:val="left" w:pos="566"/>
        </w:tabs>
        <w:spacing w:line="240" w:lineRule="exact"/>
        <w:jc w:val="both"/>
        <w:rPr>
          <w:rFonts w:ascii="Times New Roman" w:hAnsi="Times New Roman" w:cs="Times New Roman"/>
          <w:b/>
          <w:color w:val="000000"/>
          <w:sz w:val="24"/>
          <w:szCs w:val="24"/>
        </w:rPr>
      </w:pPr>
    </w:p>
    <w:p w:rsidR="00755333" w:rsidRPr="00892A83" w:rsidRDefault="004457E1" w:rsidP="00755333">
      <w:pPr>
        <w:tabs>
          <w:tab w:val="left" w:pos="566"/>
        </w:tabs>
        <w:spacing w:line="240" w:lineRule="exact"/>
        <w:jc w:val="both"/>
        <w:rPr>
          <w:rFonts w:ascii="Times New Roman" w:hAnsi="Times New Roman" w:cs="Times New Roman"/>
          <w:b/>
          <w:color w:val="000000"/>
          <w:sz w:val="24"/>
          <w:szCs w:val="24"/>
        </w:rPr>
      </w:pPr>
      <w:r w:rsidRPr="00892A83">
        <w:rPr>
          <w:rFonts w:ascii="Times New Roman" w:hAnsi="Times New Roman" w:cs="Times New Roman"/>
          <w:b/>
          <w:color w:val="000000"/>
          <w:sz w:val="24"/>
          <w:szCs w:val="24"/>
        </w:rPr>
        <w:t xml:space="preserve">MADDE 3 –Aynı Yönetmeliğinin 6 </w:t>
      </w:r>
      <w:proofErr w:type="spellStart"/>
      <w:r w:rsidRPr="00892A83">
        <w:rPr>
          <w:rFonts w:ascii="Times New Roman" w:hAnsi="Times New Roman" w:cs="Times New Roman"/>
          <w:b/>
          <w:color w:val="000000"/>
          <w:sz w:val="24"/>
          <w:szCs w:val="24"/>
        </w:rPr>
        <w:t>ncı</w:t>
      </w:r>
      <w:proofErr w:type="spellEnd"/>
      <w:r w:rsidRPr="00892A83">
        <w:rPr>
          <w:rFonts w:ascii="Times New Roman" w:hAnsi="Times New Roman" w:cs="Times New Roman"/>
          <w:b/>
          <w:color w:val="000000"/>
          <w:sz w:val="24"/>
          <w:szCs w:val="24"/>
        </w:rPr>
        <w:t xml:space="preserve"> maddesinin birinci fıkrasının </w:t>
      </w:r>
      <w:r w:rsidR="004F286A" w:rsidRPr="00892A83">
        <w:rPr>
          <w:rFonts w:ascii="Times New Roman" w:hAnsi="Times New Roman" w:cs="Times New Roman"/>
          <w:b/>
          <w:color w:val="000000"/>
          <w:sz w:val="24"/>
          <w:szCs w:val="24"/>
        </w:rPr>
        <w:t xml:space="preserve">(a), </w:t>
      </w:r>
      <w:r w:rsidRPr="00892A83">
        <w:rPr>
          <w:rFonts w:ascii="Times New Roman" w:hAnsi="Times New Roman" w:cs="Times New Roman"/>
          <w:b/>
          <w:color w:val="000000"/>
          <w:sz w:val="24"/>
          <w:szCs w:val="24"/>
        </w:rPr>
        <w:t>(d) ve (f) bentleri aşağıdaki şekilde değiştirilmiştir.</w:t>
      </w:r>
    </w:p>
    <w:p w:rsidR="004457E1" w:rsidRPr="00892A83" w:rsidRDefault="004457E1" w:rsidP="004457E1">
      <w:pPr>
        <w:spacing w:line="240" w:lineRule="atLeast"/>
        <w:jc w:val="both"/>
        <w:rPr>
          <w:rFonts w:ascii="Times New Roman" w:hAnsi="Times New Roman" w:cs="Times New Roman"/>
          <w:color w:val="000000"/>
          <w:sz w:val="24"/>
          <w:szCs w:val="24"/>
        </w:rPr>
      </w:pPr>
      <w:r w:rsidRPr="00892A83">
        <w:rPr>
          <w:rFonts w:ascii="Times New Roman" w:hAnsi="Times New Roman" w:cs="Times New Roman"/>
          <w:b/>
          <w:color w:val="000000"/>
          <w:sz w:val="24"/>
          <w:szCs w:val="24"/>
        </w:rPr>
        <w:t>MADDE 6</w:t>
      </w:r>
      <w:r w:rsidRPr="00892A83">
        <w:rPr>
          <w:rFonts w:ascii="Times New Roman" w:hAnsi="Times New Roman" w:cs="Times New Roman"/>
          <w:color w:val="000000"/>
          <w:sz w:val="24"/>
          <w:szCs w:val="24"/>
        </w:rPr>
        <w:t xml:space="preserve"> – (1) Bakanlık;</w:t>
      </w:r>
    </w:p>
    <w:p w:rsidR="004457E1" w:rsidRPr="00892A83" w:rsidRDefault="004457E1" w:rsidP="004457E1">
      <w:pPr>
        <w:spacing w:line="240" w:lineRule="atLeast"/>
        <w:jc w:val="both"/>
        <w:rPr>
          <w:rFonts w:ascii="Times New Roman" w:hAnsi="Times New Roman" w:cs="Times New Roman"/>
          <w:color w:val="000000"/>
          <w:sz w:val="24"/>
          <w:szCs w:val="24"/>
        </w:rPr>
      </w:pPr>
      <w:proofErr w:type="gramStart"/>
      <w:r w:rsidRPr="00892A83">
        <w:rPr>
          <w:rFonts w:ascii="Times New Roman" w:hAnsi="Times New Roman" w:cs="Times New Roman"/>
          <w:color w:val="000000"/>
          <w:sz w:val="24"/>
          <w:szCs w:val="24"/>
        </w:rPr>
        <w:t xml:space="preserve">a) Ek-1/A’da verilen 1, 2, 3, 4, 5, 6, 7 ve 10 </w:t>
      </w:r>
      <w:proofErr w:type="spellStart"/>
      <w:r w:rsidRPr="00892A83">
        <w:rPr>
          <w:rFonts w:ascii="Times New Roman" w:hAnsi="Times New Roman" w:cs="Times New Roman"/>
          <w:color w:val="000000"/>
          <w:sz w:val="24"/>
          <w:szCs w:val="24"/>
        </w:rPr>
        <w:t>nolu</w:t>
      </w:r>
      <w:proofErr w:type="spellEnd"/>
      <w:r w:rsidRPr="00892A83">
        <w:rPr>
          <w:rFonts w:ascii="Times New Roman" w:hAnsi="Times New Roman" w:cs="Times New Roman"/>
          <w:color w:val="000000"/>
          <w:sz w:val="24"/>
          <w:szCs w:val="24"/>
        </w:rPr>
        <w:t xml:space="preserve"> sınıflara dâhil olan elektrikli ve elektronik eşyalar ile elektrik ampulleri ve evsel amaçlı kullanılan aydınlatma gereçlerinin</w:t>
      </w:r>
      <w:r w:rsidRPr="00B710AD">
        <w:rPr>
          <w:rFonts w:ascii="Times New Roman" w:hAnsi="Times New Roman" w:cs="Times New Roman"/>
          <w:sz w:val="24"/>
          <w:szCs w:val="24"/>
        </w:rPr>
        <w:t xml:space="preserve"> üreticileri</w:t>
      </w:r>
      <w:r w:rsidRPr="00B710AD">
        <w:rPr>
          <w:rFonts w:ascii="Times New Roman" w:hAnsi="Times New Roman" w:cs="Times New Roman"/>
          <w:b/>
          <w:color w:val="FF0000"/>
          <w:sz w:val="24"/>
          <w:szCs w:val="24"/>
        </w:rPr>
        <w:t>nin</w:t>
      </w:r>
      <w:r w:rsidRPr="00B710AD">
        <w:rPr>
          <w:rFonts w:ascii="Times New Roman" w:hAnsi="Times New Roman" w:cs="Times New Roman"/>
          <w:b/>
          <w:sz w:val="24"/>
          <w:szCs w:val="24"/>
        </w:rPr>
        <w:t xml:space="preserve"> </w:t>
      </w:r>
      <w:r w:rsidRPr="0097690E">
        <w:rPr>
          <w:rFonts w:ascii="Times New Roman" w:hAnsi="Times New Roman" w:cs="Times New Roman"/>
          <w:b/>
          <w:color w:val="FF0000"/>
          <w:sz w:val="24"/>
          <w:szCs w:val="24"/>
        </w:rPr>
        <w:t>yılda bir defaya mahsus olmak üzere</w:t>
      </w:r>
      <w:r w:rsidRPr="00892A83">
        <w:rPr>
          <w:rFonts w:ascii="Times New Roman" w:hAnsi="Times New Roman" w:cs="Times New Roman"/>
          <w:b/>
          <w:color w:val="365F91" w:themeColor="accent1" w:themeShade="BF"/>
          <w:sz w:val="24"/>
          <w:szCs w:val="24"/>
        </w:rPr>
        <w:t xml:space="preserve"> </w:t>
      </w:r>
      <w:r w:rsidRPr="00892A83">
        <w:rPr>
          <w:rFonts w:ascii="Times New Roman" w:hAnsi="Times New Roman" w:cs="Times New Roman"/>
          <w:color w:val="000000"/>
          <w:sz w:val="24"/>
          <w:szCs w:val="24"/>
        </w:rPr>
        <w:t>Ek-3’te yer alan Uygunluk Beyan Formunu</w:t>
      </w:r>
      <w:r w:rsidRPr="00892A83">
        <w:rPr>
          <w:rFonts w:ascii="Times New Roman" w:hAnsi="Times New Roman" w:cs="Times New Roman"/>
          <w:b/>
          <w:color w:val="365F91"/>
          <w:sz w:val="24"/>
          <w:szCs w:val="24"/>
        </w:rPr>
        <w:t xml:space="preserve"> </w:t>
      </w:r>
      <w:r w:rsidRPr="0097690E">
        <w:rPr>
          <w:rFonts w:ascii="Times New Roman" w:hAnsi="Times New Roman" w:cs="Times New Roman"/>
          <w:b/>
          <w:color w:val="FF0000"/>
          <w:sz w:val="24"/>
          <w:szCs w:val="24"/>
        </w:rPr>
        <w:t>beyan edecekleri</w:t>
      </w:r>
      <w:r w:rsidRPr="0097690E">
        <w:rPr>
          <w:rFonts w:ascii="Times New Roman" w:hAnsi="Times New Roman" w:cs="Times New Roman"/>
          <w:color w:val="FF0000"/>
          <w:sz w:val="24"/>
          <w:szCs w:val="24"/>
        </w:rPr>
        <w:t xml:space="preserve"> </w:t>
      </w:r>
      <w:r w:rsidRPr="0097690E">
        <w:rPr>
          <w:rFonts w:ascii="Times New Roman" w:hAnsi="Times New Roman" w:cs="Times New Roman"/>
          <w:b/>
          <w:color w:val="FF0000"/>
          <w:sz w:val="24"/>
          <w:szCs w:val="24"/>
        </w:rPr>
        <w:t xml:space="preserve">bilgi </w:t>
      </w:r>
      <w:r w:rsidRPr="00892A83">
        <w:rPr>
          <w:rFonts w:ascii="Times New Roman" w:hAnsi="Times New Roman" w:cs="Times New Roman"/>
          <w:color w:val="000000"/>
          <w:sz w:val="24"/>
          <w:szCs w:val="24"/>
        </w:rPr>
        <w:t>sistemin</w:t>
      </w:r>
      <w:r w:rsidRPr="00892A83">
        <w:rPr>
          <w:rFonts w:ascii="Times New Roman" w:hAnsi="Times New Roman" w:cs="Times New Roman"/>
          <w:b/>
          <w:color w:val="365F91" w:themeColor="accent1" w:themeShade="BF"/>
          <w:sz w:val="24"/>
          <w:szCs w:val="24"/>
        </w:rPr>
        <w:t xml:space="preserve">i </w:t>
      </w:r>
      <w:r w:rsidRPr="00892A83">
        <w:rPr>
          <w:rFonts w:ascii="Times New Roman" w:hAnsi="Times New Roman" w:cs="Times New Roman"/>
          <w:color w:val="000000"/>
          <w:sz w:val="24"/>
          <w:szCs w:val="24"/>
        </w:rPr>
        <w:t>oluşturmakla</w:t>
      </w:r>
      <w:r w:rsidR="00C93509" w:rsidRPr="00892A83">
        <w:rPr>
          <w:rFonts w:ascii="Times New Roman" w:hAnsi="Times New Roman" w:cs="Times New Roman"/>
          <w:color w:val="000000"/>
          <w:sz w:val="24"/>
          <w:szCs w:val="24"/>
        </w:rPr>
        <w:t>,</w:t>
      </w:r>
      <w:proofErr w:type="gramEnd"/>
    </w:p>
    <w:p w:rsidR="00C93509" w:rsidRPr="00D80BD6" w:rsidRDefault="00C93509" w:rsidP="00C93509">
      <w:pPr>
        <w:spacing w:line="240" w:lineRule="atLeast"/>
        <w:jc w:val="both"/>
        <w:rPr>
          <w:rFonts w:ascii="Times New Roman" w:hAnsi="Times New Roman" w:cs="Times New Roman"/>
          <w:sz w:val="24"/>
          <w:szCs w:val="24"/>
        </w:rPr>
      </w:pPr>
      <w:r w:rsidRPr="00D80BD6">
        <w:rPr>
          <w:rFonts w:ascii="Times New Roman" w:hAnsi="Times New Roman" w:cs="Times New Roman"/>
          <w:sz w:val="24"/>
          <w:szCs w:val="24"/>
        </w:rPr>
        <w:t>d) Üreticiler veya yetkilendirilmiş kuruluş tarafından hazırlanan yönetim planlarını değerlendirmekle,</w:t>
      </w:r>
    </w:p>
    <w:p w:rsidR="00C93509" w:rsidRPr="00D80BD6" w:rsidRDefault="00C93509" w:rsidP="00C93509">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e) Belediyelerin hazırladıkları AEEE yönetim planlarının uygunluğunu değerlendirmekle,</w:t>
      </w:r>
    </w:p>
    <w:p w:rsidR="00C93509" w:rsidRPr="00D80BD6" w:rsidRDefault="00C93509" w:rsidP="00C93509">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f) Dağıtıcıların, belediyelerin, üreticilerin ve yetkilendirilmiş kuruluşların oluşturdukları toplama ve geri dönüşüm faaliyetlerini değerlendirmek ve bu Yönetmelik hükümlerine aykırılık tespit edilmesi halinde gerekli idari işlemleri uygulamakla,</w:t>
      </w:r>
    </w:p>
    <w:p w:rsidR="00C93509" w:rsidRPr="00D80BD6" w:rsidRDefault="00C93509" w:rsidP="00C93509">
      <w:pPr>
        <w:tabs>
          <w:tab w:val="left" w:pos="566"/>
        </w:tabs>
        <w:spacing w:line="240" w:lineRule="exact"/>
        <w:jc w:val="both"/>
        <w:rPr>
          <w:rFonts w:ascii="Times New Roman" w:hAnsi="Times New Roman" w:cs="Times New Roman"/>
          <w:sz w:val="24"/>
          <w:szCs w:val="24"/>
        </w:rPr>
      </w:pPr>
      <w:proofErr w:type="gramStart"/>
      <w:r w:rsidRPr="00D80BD6">
        <w:rPr>
          <w:rFonts w:ascii="Times New Roman" w:hAnsi="Times New Roman" w:cs="Times New Roman"/>
          <w:sz w:val="24"/>
          <w:szCs w:val="24"/>
        </w:rPr>
        <w:t>görevli</w:t>
      </w:r>
      <w:proofErr w:type="gramEnd"/>
      <w:r w:rsidRPr="00D80BD6">
        <w:rPr>
          <w:rFonts w:ascii="Times New Roman" w:hAnsi="Times New Roman" w:cs="Times New Roman"/>
          <w:sz w:val="24"/>
          <w:szCs w:val="24"/>
        </w:rPr>
        <w:t xml:space="preserve"> ve yetkilidir.</w:t>
      </w:r>
    </w:p>
    <w:p w:rsidR="00C93509" w:rsidRPr="00892A83" w:rsidRDefault="003A3D3F" w:rsidP="004457E1">
      <w:pPr>
        <w:spacing w:line="240" w:lineRule="atLeast"/>
        <w:jc w:val="both"/>
        <w:rPr>
          <w:rFonts w:ascii="Times New Roman" w:hAnsi="Times New Roman" w:cs="Times New Roman"/>
          <w:b/>
          <w:color w:val="000000"/>
          <w:sz w:val="24"/>
          <w:szCs w:val="24"/>
        </w:rPr>
      </w:pPr>
      <w:r w:rsidRPr="00892A83">
        <w:rPr>
          <w:rFonts w:ascii="Times New Roman" w:hAnsi="Times New Roman" w:cs="Times New Roman"/>
          <w:b/>
          <w:color w:val="000000"/>
          <w:sz w:val="24"/>
          <w:szCs w:val="24"/>
        </w:rPr>
        <w:t xml:space="preserve">MADDE 4 –Aynı Yönetmeliğinin 7 </w:t>
      </w:r>
      <w:proofErr w:type="spellStart"/>
      <w:r w:rsidRPr="00892A83">
        <w:rPr>
          <w:rFonts w:ascii="Times New Roman" w:hAnsi="Times New Roman" w:cs="Times New Roman"/>
          <w:b/>
          <w:color w:val="000000"/>
          <w:sz w:val="24"/>
          <w:szCs w:val="24"/>
        </w:rPr>
        <w:t>nci</w:t>
      </w:r>
      <w:proofErr w:type="spellEnd"/>
      <w:r w:rsidRPr="00892A83">
        <w:rPr>
          <w:rFonts w:ascii="Times New Roman" w:hAnsi="Times New Roman" w:cs="Times New Roman"/>
          <w:b/>
          <w:color w:val="000000"/>
          <w:sz w:val="24"/>
          <w:szCs w:val="24"/>
        </w:rPr>
        <w:t xml:space="preserve"> maddesinin birinci fıkrasına (ç) bendi eklenmiştir.</w:t>
      </w:r>
    </w:p>
    <w:p w:rsidR="003A3D3F" w:rsidRPr="00892A83" w:rsidRDefault="003A3D3F" w:rsidP="003A3D3F">
      <w:pPr>
        <w:tabs>
          <w:tab w:val="left" w:pos="566"/>
        </w:tabs>
        <w:spacing w:line="240" w:lineRule="exact"/>
        <w:jc w:val="both"/>
        <w:rPr>
          <w:rFonts w:ascii="Times New Roman" w:hAnsi="Times New Roman" w:cs="Times New Roman"/>
          <w:sz w:val="24"/>
          <w:szCs w:val="24"/>
        </w:rPr>
      </w:pPr>
      <w:r w:rsidRPr="00892A83">
        <w:rPr>
          <w:rFonts w:ascii="Times New Roman" w:hAnsi="Times New Roman" w:cs="Times New Roman"/>
          <w:b/>
          <w:sz w:val="24"/>
          <w:szCs w:val="24"/>
        </w:rPr>
        <w:t>MADDE 7 –</w:t>
      </w:r>
      <w:r w:rsidRPr="00892A83">
        <w:rPr>
          <w:rFonts w:ascii="Times New Roman" w:hAnsi="Times New Roman" w:cs="Times New Roman"/>
          <w:sz w:val="24"/>
          <w:szCs w:val="24"/>
        </w:rPr>
        <w:t xml:space="preserve"> (1) Çevre ve şehircilik il müdürlükleri;</w:t>
      </w:r>
    </w:p>
    <w:p w:rsidR="003A3D3F" w:rsidRPr="00D80BD6" w:rsidRDefault="003A3D3F" w:rsidP="003A3D3F">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lastRenderedPageBreak/>
        <w:t>ç) 13 üncü maddeye göre oluşturulacak aktarma merkezleri için uygunluk yazısı vermekle,</w:t>
      </w:r>
    </w:p>
    <w:p w:rsidR="003A3D3F" w:rsidRPr="00892A83" w:rsidRDefault="003A3D3F" w:rsidP="003A3D3F">
      <w:pPr>
        <w:spacing w:line="240" w:lineRule="atLeast"/>
        <w:jc w:val="both"/>
        <w:rPr>
          <w:rFonts w:ascii="Times New Roman" w:hAnsi="Times New Roman" w:cs="Times New Roman"/>
          <w:sz w:val="24"/>
          <w:szCs w:val="24"/>
        </w:rPr>
      </w:pPr>
      <w:proofErr w:type="gramStart"/>
      <w:r w:rsidRPr="00892A83">
        <w:rPr>
          <w:rFonts w:ascii="Times New Roman" w:hAnsi="Times New Roman" w:cs="Times New Roman"/>
          <w:sz w:val="24"/>
          <w:szCs w:val="24"/>
        </w:rPr>
        <w:t>görevli</w:t>
      </w:r>
      <w:proofErr w:type="gramEnd"/>
      <w:r w:rsidRPr="00892A83">
        <w:rPr>
          <w:rFonts w:ascii="Times New Roman" w:hAnsi="Times New Roman" w:cs="Times New Roman"/>
          <w:sz w:val="24"/>
          <w:szCs w:val="24"/>
        </w:rPr>
        <w:t xml:space="preserve"> ve yetkilidir.</w:t>
      </w:r>
    </w:p>
    <w:p w:rsidR="003A3D3F" w:rsidRPr="00892A83" w:rsidRDefault="003A3D3F" w:rsidP="003A3D3F">
      <w:pPr>
        <w:spacing w:line="240" w:lineRule="atLeast"/>
        <w:jc w:val="both"/>
        <w:rPr>
          <w:rFonts w:ascii="Times New Roman" w:hAnsi="Times New Roman" w:cs="Times New Roman"/>
          <w:sz w:val="24"/>
          <w:szCs w:val="24"/>
        </w:rPr>
      </w:pPr>
    </w:p>
    <w:p w:rsidR="003A3D3F" w:rsidRPr="00892A83" w:rsidRDefault="003A3D3F" w:rsidP="003A3D3F">
      <w:pPr>
        <w:jc w:val="both"/>
        <w:rPr>
          <w:rFonts w:ascii="Times New Roman" w:hAnsi="Times New Roman" w:cs="Times New Roman"/>
          <w:b/>
          <w:sz w:val="24"/>
          <w:szCs w:val="24"/>
        </w:rPr>
      </w:pPr>
      <w:r w:rsidRPr="00892A83">
        <w:rPr>
          <w:rFonts w:ascii="Times New Roman" w:hAnsi="Times New Roman" w:cs="Times New Roman"/>
          <w:b/>
          <w:sz w:val="24"/>
          <w:szCs w:val="24"/>
        </w:rPr>
        <w:t>MADDE 5 – Aynı Yönetmeliğinin 8 inci maddesinin birinci fıkrasının (a), (b), (c) ve (ç) bentleri aşağıdaki şekilde değiştirilmiştir.</w:t>
      </w:r>
    </w:p>
    <w:p w:rsidR="003A3D3F" w:rsidRPr="00892A83" w:rsidRDefault="003A3D3F" w:rsidP="003A3D3F">
      <w:pPr>
        <w:tabs>
          <w:tab w:val="left" w:pos="566"/>
        </w:tabs>
        <w:spacing w:line="240" w:lineRule="exact"/>
        <w:jc w:val="both"/>
        <w:rPr>
          <w:rFonts w:ascii="Times New Roman" w:hAnsi="Times New Roman" w:cs="Times New Roman"/>
          <w:sz w:val="24"/>
          <w:szCs w:val="24"/>
        </w:rPr>
      </w:pPr>
      <w:r w:rsidRPr="00892A83">
        <w:rPr>
          <w:rFonts w:ascii="Times New Roman" w:hAnsi="Times New Roman" w:cs="Times New Roman"/>
          <w:b/>
          <w:sz w:val="24"/>
          <w:szCs w:val="24"/>
        </w:rPr>
        <w:t xml:space="preserve">MADDE 8 </w:t>
      </w:r>
      <w:r w:rsidRPr="00892A83">
        <w:rPr>
          <w:rFonts w:ascii="Times New Roman" w:hAnsi="Times New Roman" w:cs="Times New Roman"/>
          <w:sz w:val="24"/>
          <w:szCs w:val="24"/>
        </w:rPr>
        <w:t>– (1) Belediyeler;</w:t>
      </w:r>
    </w:p>
    <w:p w:rsidR="003A3D3F" w:rsidRPr="00D80BD6" w:rsidRDefault="003A3D3F" w:rsidP="003A3D3F">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 xml:space="preserve">a) Evsel </w:t>
      </w:r>
      <w:proofErr w:type="spellStart"/>
      <w:r w:rsidRPr="00D80BD6">
        <w:rPr>
          <w:rFonts w:ascii="Times New Roman" w:hAnsi="Times New Roman" w:cs="Times New Roman"/>
          <w:sz w:val="24"/>
          <w:szCs w:val="24"/>
        </w:rPr>
        <w:t>AEEE’lerin</w:t>
      </w:r>
      <w:proofErr w:type="spellEnd"/>
      <w:r w:rsidRPr="00D80BD6">
        <w:rPr>
          <w:rFonts w:ascii="Times New Roman" w:hAnsi="Times New Roman" w:cs="Times New Roman"/>
          <w:sz w:val="24"/>
          <w:szCs w:val="24"/>
        </w:rPr>
        <w:t>, 15 inci maddenin birinci fıkrasında belirtilen toplama hedeflerine göre etkin bir biçimde diğer atıklardan ayrı toplanmasını sağlamak amacıyla Atık Getirme Merkezi Tebliği’nde belirtilen süreler esas alınarak, atık getirme merkezlerini kurmak/kurdurmakla, işletmek/işlettirmekle ve AEEE yönetim planını hazırlayarak Bakanlığa göndermekle,</w:t>
      </w:r>
    </w:p>
    <w:p w:rsidR="003A3D3F" w:rsidRPr="00D80BD6" w:rsidRDefault="003A3D3F" w:rsidP="003A3D3F">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 xml:space="preserve">b) Yönetim planı çerçevesinde toplama programı hakkında konutları bilgilendirmek, bu program çerçevesinde toplama işlemini yapmak veya yaptırmakla, yaptığı toplama işlemlerine dair bir kayıt tutanağı oluşturarak bu kayıtları beş yıl süre ile muhafaza etmekle, </w:t>
      </w:r>
    </w:p>
    <w:p w:rsidR="003A3D3F" w:rsidRPr="00D80BD6" w:rsidRDefault="003A3D3F" w:rsidP="003A3D3F">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 xml:space="preserve">c)  Atık Getirme Merkezlerini ilgili Tebliğde belirtildiği şekilde kurarak, </w:t>
      </w:r>
      <w:proofErr w:type="spellStart"/>
      <w:r w:rsidRPr="00D80BD6">
        <w:rPr>
          <w:rFonts w:ascii="Times New Roman" w:hAnsi="Times New Roman" w:cs="Times New Roman"/>
          <w:sz w:val="24"/>
          <w:szCs w:val="24"/>
        </w:rPr>
        <w:t>AEEE’lerin</w:t>
      </w:r>
      <w:proofErr w:type="spellEnd"/>
      <w:r w:rsidRPr="00D80BD6">
        <w:rPr>
          <w:rFonts w:ascii="Times New Roman" w:hAnsi="Times New Roman" w:cs="Times New Roman"/>
          <w:sz w:val="24"/>
          <w:szCs w:val="24"/>
        </w:rPr>
        <w:t xml:space="preserve"> toplanmasını sağlamakla ve kurulan getirme merkezlerine ilişkin olarak halkı bilgilendirmekle,</w:t>
      </w:r>
    </w:p>
    <w:p w:rsidR="003A3D3F" w:rsidRPr="00892A83" w:rsidRDefault="003A3D3F" w:rsidP="003A3D3F">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ç) Atık</w:t>
      </w:r>
      <w:r w:rsidRPr="00892A83">
        <w:rPr>
          <w:rFonts w:ascii="Times New Roman" w:hAnsi="Times New Roman" w:cs="Times New Roman"/>
          <w:sz w:val="24"/>
          <w:szCs w:val="24"/>
        </w:rPr>
        <w:t xml:space="preserve"> Getirme merkezlerinde 15 inci maddenin ikinci fıkrasında belirtilen gruplamaya göre </w:t>
      </w:r>
      <w:proofErr w:type="spellStart"/>
      <w:r w:rsidRPr="00892A83">
        <w:rPr>
          <w:rFonts w:ascii="Times New Roman" w:hAnsi="Times New Roman" w:cs="Times New Roman"/>
          <w:sz w:val="24"/>
          <w:szCs w:val="24"/>
        </w:rPr>
        <w:t>AEEE’lerin</w:t>
      </w:r>
      <w:proofErr w:type="spellEnd"/>
      <w:r w:rsidRPr="00892A83">
        <w:rPr>
          <w:rFonts w:ascii="Times New Roman" w:hAnsi="Times New Roman" w:cs="Times New Roman"/>
          <w:sz w:val="24"/>
          <w:szCs w:val="24"/>
        </w:rPr>
        <w:t xml:space="preserve"> uygun konteynerlerde biriktirilmesini sağlamakla,</w:t>
      </w:r>
    </w:p>
    <w:p w:rsidR="00755333" w:rsidRPr="00892A83" w:rsidRDefault="00755333" w:rsidP="00755333">
      <w:pPr>
        <w:tabs>
          <w:tab w:val="left" w:pos="566"/>
        </w:tabs>
        <w:spacing w:line="240" w:lineRule="exact"/>
        <w:jc w:val="both"/>
        <w:rPr>
          <w:rFonts w:ascii="Times New Roman" w:hAnsi="Times New Roman" w:cs="Times New Roman"/>
          <w:b/>
          <w:color w:val="000000"/>
          <w:sz w:val="24"/>
          <w:szCs w:val="24"/>
        </w:rPr>
      </w:pPr>
    </w:p>
    <w:p w:rsidR="000D5F71" w:rsidRPr="00892A83" w:rsidRDefault="000D5F71" w:rsidP="002300A7">
      <w:pPr>
        <w:jc w:val="both"/>
        <w:rPr>
          <w:rFonts w:ascii="Times New Roman" w:hAnsi="Times New Roman" w:cs="Times New Roman"/>
          <w:sz w:val="24"/>
          <w:szCs w:val="24"/>
        </w:rPr>
      </w:pPr>
      <w:r w:rsidRPr="00892A83">
        <w:rPr>
          <w:rFonts w:ascii="Times New Roman" w:hAnsi="Times New Roman" w:cs="Times New Roman"/>
          <w:b/>
          <w:sz w:val="24"/>
          <w:szCs w:val="24"/>
        </w:rPr>
        <w:t>MADDE 6</w:t>
      </w:r>
      <w:r w:rsidR="00932679" w:rsidRPr="00892A83">
        <w:rPr>
          <w:rFonts w:ascii="Times New Roman" w:hAnsi="Times New Roman" w:cs="Times New Roman"/>
          <w:sz w:val="24"/>
          <w:szCs w:val="24"/>
        </w:rPr>
        <w:t xml:space="preserve"> –</w:t>
      </w:r>
      <w:r w:rsidR="002300A7" w:rsidRPr="00892A83">
        <w:rPr>
          <w:rFonts w:ascii="Times New Roman" w:hAnsi="Times New Roman" w:cs="Times New Roman"/>
          <w:sz w:val="24"/>
          <w:szCs w:val="24"/>
        </w:rPr>
        <w:t xml:space="preserve"> Aynı </w:t>
      </w:r>
      <w:r w:rsidR="00932679" w:rsidRPr="00892A83">
        <w:rPr>
          <w:rFonts w:ascii="Times New Roman" w:hAnsi="Times New Roman" w:cs="Times New Roman"/>
          <w:sz w:val="24"/>
          <w:szCs w:val="24"/>
        </w:rPr>
        <w:t xml:space="preserve">Yönetmeliğinin </w:t>
      </w:r>
      <w:r w:rsidRPr="00892A83">
        <w:rPr>
          <w:rFonts w:ascii="Times New Roman" w:hAnsi="Times New Roman" w:cs="Times New Roman"/>
          <w:sz w:val="24"/>
          <w:szCs w:val="24"/>
        </w:rPr>
        <w:t>9 uncu maddesinin birinci fıkrasının (d), (f) ve (h) bendi aşağıdaki şekilde değiştirilmiş ve (n) bendi eklenmiştir.</w:t>
      </w:r>
    </w:p>
    <w:p w:rsidR="00932679" w:rsidRPr="00892A83" w:rsidRDefault="00A930B3" w:rsidP="002300A7">
      <w:pPr>
        <w:jc w:val="both"/>
        <w:rPr>
          <w:rFonts w:ascii="Times New Roman" w:hAnsi="Times New Roman" w:cs="Times New Roman"/>
          <w:b/>
          <w:sz w:val="24"/>
          <w:szCs w:val="24"/>
        </w:rPr>
      </w:pPr>
      <w:r w:rsidRPr="00892A83">
        <w:rPr>
          <w:rFonts w:ascii="Times New Roman" w:hAnsi="Times New Roman" w:cs="Times New Roman"/>
          <w:b/>
          <w:sz w:val="24"/>
          <w:szCs w:val="24"/>
        </w:rPr>
        <w:t>MADDE</w:t>
      </w:r>
      <w:r w:rsidR="000D5F71" w:rsidRPr="00892A83">
        <w:rPr>
          <w:rFonts w:ascii="Times New Roman" w:hAnsi="Times New Roman" w:cs="Times New Roman"/>
          <w:b/>
          <w:sz w:val="24"/>
          <w:szCs w:val="24"/>
        </w:rPr>
        <w:t xml:space="preserve"> 9</w:t>
      </w:r>
      <w:r w:rsidRPr="00892A83">
        <w:rPr>
          <w:rFonts w:ascii="Times New Roman" w:hAnsi="Times New Roman" w:cs="Times New Roman"/>
          <w:b/>
          <w:sz w:val="24"/>
          <w:szCs w:val="24"/>
        </w:rPr>
        <w:t xml:space="preserve"> – </w:t>
      </w:r>
    </w:p>
    <w:p w:rsidR="000D5F71" w:rsidRPr="00D80BD6" w:rsidRDefault="000D5F71" w:rsidP="000D5F71">
      <w:pPr>
        <w:tabs>
          <w:tab w:val="left" w:pos="566"/>
        </w:tabs>
        <w:spacing w:line="240" w:lineRule="exact"/>
        <w:jc w:val="both"/>
        <w:rPr>
          <w:rFonts w:ascii="Times New Roman" w:hAnsi="Times New Roman" w:cs="Times New Roman"/>
          <w:sz w:val="24"/>
          <w:szCs w:val="24"/>
        </w:rPr>
      </w:pPr>
      <w:r w:rsidRPr="00892A83">
        <w:rPr>
          <w:rFonts w:ascii="Times New Roman" w:hAnsi="Times New Roman" w:cs="Times New Roman"/>
          <w:sz w:val="24"/>
          <w:szCs w:val="24"/>
        </w:rPr>
        <w:t xml:space="preserve">d) Her yıl </w:t>
      </w:r>
      <w:r w:rsidRPr="0097690E">
        <w:rPr>
          <w:rFonts w:ascii="Times New Roman" w:hAnsi="Times New Roman" w:cs="Times New Roman"/>
          <w:b/>
          <w:color w:val="FF0000"/>
          <w:sz w:val="24"/>
          <w:szCs w:val="24"/>
        </w:rPr>
        <w:t>Mart</w:t>
      </w:r>
      <w:r w:rsidRPr="00892A83">
        <w:rPr>
          <w:rFonts w:ascii="Times New Roman" w:hAnsi="Times New Roman" w:cs="Times New Roman"/>
          <w:b/>
          <w:color w:val="0070C0"/>
          <w:sz w:val="24"/>
          <w:szCs w:val="24"/>
        </w:rPr>
        <w:t xml:space="preserve"> </w:t>
      </w:r>
      <w:r w:rsidRPr="00892A83">
        <w:rPr>
          <w:rFonts w:ascii="Times New Roman" w:hAnsi="Times New Roman" w:cs="Times New Roman"/>
          <w:sz w:val="24"/>
          <w:szCs w:val="24"/>
        </w:rPr>
        <w:t xml:space="preserve">ayı sonuna kadar Ek-3’te yer alan Uygunluk Beyan </w:t>
      </w:r>
      <w:r w:rsidRPr="00D80BD6">
        <w:rPr>
          <w:rFonts w:ascii="Times New Roman" w:hAnsi="Times New Roman" w:cs="Times New Roman"/>
          <w:sz w:val="24"/>
          <w:szCs w:val="24"/>
        </w:rPr>
        <w:t>Formunu ve Ek-5’te yer alan Üretici Raporlama Tablolarını Bakanlığın “EEE ve AEEE Bilgi Sistemi” üzerinden beyan etmekle,</w:t>
      </w:r>
    </w:p>
    <w:p w:rsidR="00123B83" w:rsidRPr="00D80BD6" w:rsidRDefault="00123B83" w:rsidP="000D5F71">
      <w:pPr>
        <w:tabs>
          <w:tab w:val="left" w:pos="566"/>
        </w:tabs>
        <w:spacing w:line="240" w:lineRule="exact"/>
        <w:jc w:val="both"/>
        <w:rPr>
          <w:rFonts w:ascii="Times New Roman" w:hAnsi="Times New Roman" w:cs="Times New Roman"/>
          <w:sz w:val="24"/>
          <w:szCs w:val="24"/>
        </w:rPr>
      </w:pPr>
      <w:r w:rsidRPr="00D80BD6">
        <w:rPr>
          <w:rFonts w:ascii="Times New Roman" w:hAnsi="Times New Roman" w:cs="Times New Roman"/>
          <w:sz w:val="24"/>
          <w:szCs w:val="24"/>
        </w:rPr>
        <w:t>f) Kendileri veya organizasyonunda yer</w:t>
      </w:r>
      <w:r w:rsidR="0097690E" w:rsidRPr="00D80BD6">
        <w:rPr>
          <w:rFonts w:ascii="Times New Roman" w:hAnsi="Times New Roman" w:cs="Times New Roman"/>
          <w:sz w:val="24"/>
          <w:szCs w:val="24"/>
        </w:rPr>
        <w:t xml:space="preserve"> </w:t>
      </w:r>
      <w:r w:rsidRPr="00D80BD6">
        <w:rPr>
          <w:rFonts w:ascii="Times New Roman" w:hAnsi="Times New Roman" w:cs="Times New Roman"/>
          <w:sz w:val="24"/>
          <w:szCs w:val="24"/>
        </w:rPr>
        <w:t>aldığı yetkilendirilmiş kuruluş tarafından, bu Yönetmelikten kaynaklanan yükümlülüklerin yerine getirilmesine ilişkin evsel AEEE yönetim planını hazırlamak ve Bakanlık onayına sunmakla,</w:t>
      </w:r>
    </w:p>
    <w:p w:rsidR="000D5F71" w:rsidRPr="00D80BD6" w:rsidRDefault="000D5F71" w:rsidP="002300A7">
      <w:pPr>
        <w:jc w:val="both"/>
        <w:rPr>
          <w:rFonts w:ascii="Times New Roman" w:hAnsi="Times New Roman" w:cs="Times New Roman"/>
          <w:sz w:val="24"/>
          <w:szCs w:val="24"/>
        </w:rPr>
      </w:pPr>
      <w:r w:rsidRPr="00D80BD6">
        <w:rPr>
          <w:rFonts w:ascii="Times New Roman" w:hAnsi="Times New Roman" w:cs="Times New Roman"/>
          <w:sz w:val="24"/>
          <w:szCs w:val="24"/>
        </w:rPr>
        <w:t xml:space="preserve">h) Evsel olmayan </w:t>
      </w:r>
      <w:proofErr w:type="spellStart"/>
      <w:r w:rsidRPr="00D80BD6">
        <w:rPr>
          <w:rFonts w:ascii="Times New Roman" w:hAnsi="Times New Roman" w:cs="Times New Roman"/>
          <w:sz w:val="24"/>
          <w:szCs w:val="24"/>
        </w:rPr>
        <w:t>EEE’lerin</w:t>
      </w:r>
      <w:proofErr w:type="spellEnd"/>
      <w:r w:rsidRPr="00D80BD6">
        <w:rPr>
          <w:rFonts w:ascii="Times New Roman" w:hAnsi="Times New Roman" w:cs="Times New Roman"/>
          <w:sz w:val="24"/>
          <w:szCs w:val="24"/>
        </w:rPr>
        <w:t xml:space="preserve"> atık haline geldiğinde çevreyle uyumlu şekilde yönetilebilmesi için çevre lisanslı geri kazanım, geri dönüşüm veya bertaraf tesislerine gönderilmesi gerektiğine dair kullanıcıları bilgilendirmekle,</w:t>
      </w:r>
    </w:p>
    <w:p w:rsidR="000D5F71" w:rsidRPr="00D80BD6" w:rsidRDefault="000D5F71" w:rsidP="000D5F71">
      <w:pPr>
        <w:spacing w:line="240" w:lineRule="atLeast"/>
        <w:jc w:val="both"/>
        <w:rPr>
          <w:rFonts w:ascii="Times New Roman" w:hAnsi="Times New Roman" w:cs="Times New Roman"/>
          <w:sz w:val="24"/>
          <w:szCs w:val="24"/>
        </w:rPr>
      </w:pPr>
      <w:r w:rsidRPr="00D80BD6">
        <w:rPr>
          <w:rFonts w:ascii="Times New Roman" w:hAnsi="Times New Roman" w:cs="Times New Roman"/>
          <w:sz w:val="24"/>
          <w:szCs w:val="24"/>
        </w:rPr>
        <w:t>n) Her yıl Mart ayı sonuna kadar toplanan AEEE ile ilgili bilgileri, Bakanlığın “EEE ve AEEE Bilgi Sistemi” üzerinden beyan etmekle ve bu bilgilerin yer aldığı sistem çıktılarını beş yıl süreyle muhafaza etmekle,</w:t>
      </w:r>
    </w:p>
    <w:p w:rsidR="000D5F71" w:rsidRPr="00892A83" w:rsidRDefault="000D5F71" w:rsidP="000D5F71">
      <w:pPr>
        <w:spacing w:line="240" w:lineRule="atLeast"/>
        <w:jc w:val="both"/>
        <w:rPr>
          <w:rFonts w:ascii="Times New Roman" w:hAnsi="Times New Roman" w:cs="Times New Roman"/>
          <w:sz w:val="24"/>
          <w:szCs w:val="24"/>
        </w:rPr>
      </w:pPr>
      <w:proofErr w:type="gramStart"/>
      <w:r w:rsidRPr="00892A83">
        <w:rPr>
          <w:rFonts w:ascii="Times New Roman" w:hAnsi="Times New Roman" w:cs="Times New Roman"/>
          <w:sz w:val="24"/>
          <w:szCs w:val="24"/>
        </w:rPr>
        <w:t>yükümlüdür</w:t>
      </w:r>
      <w:proofErr w:type="gramEnd"/>
      <w:r w:rsidRPr="00892A83">
        <w:rPr>
          <w:rFonts w:ascii="Times New Roman" w:hAnsi="Times New Roman" w:cs="Times New Roman"/>
          <w:sz w:val="24"/>
          <w:szCs w:val="24"/>
        </w:rPr>
        <w:t>.</w:t>
      </w:r>
    </w:p>
    <w:p w:rsidR="00123B83" w:rsidRPr="00892A83" w:rsidRDefault="00123B83" w:rsidP="00123B83">
      <w:pPr>
        <w:tabs>
          <w:tab w:val="left" w:pos="566"/>
        </w:tabs>
        <w:spacing w:line="240" w:lineRule="exact"/>
        <w:jc w:val="both"/>
        <w:rPr>
          <w:rFonts w:ascii="Times New Roman" w:hAnsi="Times New Roman" w:cs="Times New Roman"/>
          <w:b/>
          <w:color w:val="000000"/>
          <w:sz w:val="24"/>
          <w:szCs w:val="24"/>
        </w:rPr>
      </w:pPr>
      <w:r w:rsidRPr="00892A83">
        <w:rPr>
          <w:rFonts w:ascii="Times New Roman" w:hAnsi="Times New Roman" w:cs="Times New Roman"/>
          <w:b/>
          <w:color w:val="000000"/>
          <w:sz w:val="24"/>
          <w:szCs w:val="24"/>
        </w:rPr>
        <w:t>MADDE 7 –Aynı Yönetmeliğinin 11 inci maddesinin birinci fıkrasının (b) bendi aşağıdaki şekilde değiştirilmiştir.</w:t>
      </w:r>
    </w:p>
    <w:p w:rsidR="005A12E0" w:rsidRPr="00892A83" w:rsidRDefault="005A12E0" w:rsidP="005A12E0">
      <w:pPr>
        <w:jc w:val="both"/>
        <w:rPr>
          <w:rFonts w:ascii="Times New Roman" w:hAnsi="Times New Roman" w:cs="Times New Roman"/>
          <w:b/>
          <w:sz w:val="24"/>
          <w:szCs w:val="24"/>
        </w:rPr>
      </w:pPr>
      <w:r w:rsidRPr="00892A83">
        <w:rPr>
          <w:rFonts w:ascii="Times New Roman" w:hAnsi="Times New Roman" w:cs="Times New Roman"/>
          <w:b/>
          <w:sz w:val="24"/>
          <w:szCs w:val="24"/>
        </w:rPr>
        <w:t>MADDE 11 – (1) Elektrikli ve elektronik eşya tüketicileri;</w:t>
      </w:r>
    </w:p>
    <w:p w:rsidR="005A12E0" w:rsidRPr="00D80BD6" w:rsidRDefault="005A12E0" w:rsidP="005A12E0">
      <w:pPr>
        <w:jc w:val="both"/>
        <w:rPr>
          <w:rFonts w:ascii="Times New Roman" w:hAnsi="Times New Roman" w:cs="Times New Roman"/>
          <w:sz w:val="24"/>
          <w:szCs w:val="24"/>
        </w:rPr>
      </w:pPr>
      <w:r w:rsidRPr="00D80BD6">
        <w:rPr>
          <w:rFonts w:ascii="Times New Roman" w:hAnsi="Times New Roman" w:cs="Times New Roman"/>
          <w:sz w:val="24"/>
          <w:szCs w:val="24"/>
        </w:rPr>
        <w:lastRenderedPageBreak/>
        <w:t xml:space="preserve">b) </w:t>
      </w:r>
      <w:proofErr w:type="spellStart"/>
      <w:r w:rsidRPr="00D80BD6">
        <w:rPr>
          <w:rFonts w:ascii="Times New Roman" w:hAnsi="Times New Roman" w:cs="Times New Roman"/>
          <w:sz w:val="24"/>
          <w:szCs w:val="24"/>
        </w:rPr>
        <w:t>AEEE’lerini</w:t>
      </w:r>
      <w:proofErr w:type="spellEnd"/>
      <w:r w:rsidRPr="00D80BD6">
        <w:rPr>
          <w:rFonts w:ascii="Times New Roman" w:hAnsi="Times New Roman" w:cs="Times New Roman"/>
          <w:sz w:val="24"/>
          <w:szCs w:val="24"/>
        </w:rPr>
        <w:t xml:space="preserve"> dağıtıcıların, belediyelerin, üreticilerin, yetkilendirilmiş kuruluşların veya işleme tesislerinin oluşturdukları toplama yerlerine götürmekle veya götürülmesini sağlamakla ve kayıt dışı toplama yapanlara vermemekle,</w:t>
      </w:r>
    </w:p>
    <w:p w:rsidR="000D5F71" w:rsidRPr="00D80BD6" w:rsidRDefault="005A12E0" w:rsidP="005A12E0">
      <w:pPr>
        <w:jc w:val="both"/>
        <w:rPr>
          <w:rFonts w:ascii="Times New Roman" w:hAnsi="Times New Roman" w:cs="Times New Roman"/>
          <w:sz w:val="24"/>
          <w:szCs w:val="24"/>
        </w:rPr>
      </w:pPr>
      <w:proofErr w:type="gramStart"/>
      <w:r w:rsidRPr="00D80BD6">
        <w:rPr>
          <w:rFonts w:ascii="Times New Roman" w:hAnsi="Times New Roman" w:cs="Times New Roman"/>
          <w:sz w:val="24"/>
          <w:szCs w:val="24"/>
        </w:rPr>
        <w:t>yükümlüdür</w:t>
      </w:r>
      <w:proofErr w:type="gramEnd"/>
      <w:r w:rsidRPr="00D80BD6">
        <w:rPr>
          <w:rFonts w:ascii="Times New Roman" w:hAnsi="Times New Roman" w:cs="Times New Roman"/>
          <w:sz w:val="24"/>
          <w:szCs w:val="24"/>
        </w:rPr>
        <w:t>.</w:t>
      </w:r>
    </w:p>
    <w:p w:rsidR="000D5F71" w:rsidRPr="00892A83" w:rsidRDefault="00FD0282" w:rsidP="002300A7">
      <w:pPr>
        <w:jc w:val="both"/>
        <w:rPr>
          <w:rFonts w:ascii="Times New Roman" w:hAnsi="Times New Roman" w:cs="Times New Roman"/>
          <w:b/>
          <w:sz w:val="24"/>
          <w:szCs w:val="24"/>
        </w:rPr>
      </w:pPr>
      <w:r w:rsidRPr="00892A83">
        <w:rPr>
          <w:rFonts w:ascii="Times New Roman" w:hAnsi="Times New Roman" w:cs="Times New Roman"/>
          <w:b/>
          <w:sz w:val="24"/>
          <w:szCs w:val="24"/>
        </w:rPr>
        <w:t>MADDE 8 –Aynı Yönetmeliğinin 12 inci maddesinin birinci fıkrasının (ç) bendi aşağıdaki şekilde değiştirilmiştir.</w:t>
      </w:r>
    </w:p>
    <w:p w:rsidR="00FD0282" w:rsidRPr="00892A83" w:rsidRDefault="00FD0282" w:rsidP="00FD0282">
      <w:pPr>
        <w:spacing w:line="240" w:lineRule="exact"/>
        <w:jc w:val="both"/>
        <w:rPr>
          <w:rFonts w:ascii="Times New Roman" w:hAnsi="Times New Roman" w:cs="Times New Roman"/>
          <w:sz w:val="24"/>
          <w:szCs w:val="24"/>
        </w:rPr>
      </w:pPr>
      <w:r w:rsidRPr="00892A83">
        <w:rPr>
          <w:rFonts w:ascii="Times New Roman" w:hAnsi="Times New Roman" w:cs="Times New Roman"/>
          <w:b/>
          <w:sz w:val="24"/>
          <w:szCs w:val="24"/>
        </w:rPr>
        <w:t xml:space="preserve">MADDE 12 – </w:t>
      </w:r>
      <w:r w:rsidRPr="00892A83">
        <w:rPr>
          <w:rFonts w:ascii="Times New Roman" w:hAnsi="Times New Roman" w:cs="Times New Roman"/>
          <w:bCs/>
          <w:color w:val="1C283D"/>
          <w:sz w:val="24"/>
          <w:szCs w:val="24"/>
        </w:rPr>
        <w:t xml:space="preserve">(1) </w:t>
      </w:r>
      <w:r w:rsidRPr="00892A83">
        <w:rPr>
          <w:rFonts w:ascii="Times New Roman" w:hAnsi="Times New Roman" w:cs="Times New Roman"/>
          <w:sz w:val="24"/>
          <w:szCs w:val="24"/>
        </w:rPr>
        <w:t>İşleme tesisleri;</w:t>
      </w:r>
    </w:p>
    <w:p w:rsidR="00FD0282" w:rsidRPr="00892A83" w:rsidRDefault="00FD0282" w:rsidP="00FD0282">
      <w:pPr>
        <w:jc w:val="both"/>
        <w:rPr>
          <w:rFonts w:ascii="Times New Roman" w:hAnsi="Times New Roman" w:cs="Times New Roman"/>
          <w:sz w:val="24"/>
          <w:szCs w:val="24"/>
        </w:rPr>
      </w:pPr>
      <w:proofErr w:type="gramStart"/>
      <w:r w:rsidRPr="00892A83">
        <w:rPr>
          <w:rFonts w:ascii="Times New Roman" w:hAnsi="Times New Roman" w:cs="Times New Roman"/>
          <w:sz w:val="24"/>
          <w:szCs w:val="24"/>
        </w:rPr>
        <w:t xml:space="preserve">ç) </w:t>
      </w:r>
      <w:r w:rsidRPr="00D80BD6">
        <w:rPr>
          <w:rFonts w:ascii="Times New Roman" w:hAnsi="Times New Roman" w:cs="Times New Roman"/>
          <w:sz w:val="24"/>
          <w:szCs w:val="24"/>
        </w:rPr>
        <w:t xml:space="preserve">Çevrimiçi programlara kayıt olmak ve tesisine kabul ettiği, işlediği, bakiye olarak oluşturduğu atıklar ile atık işleme faaliyeti neticesinde oluşturduğu/ürettiği ürünlerin bilgisini içeren kütle-denge bilgisini hazırlamak ve çevrimiçi programı kullanarak bildirim yapmakla, </w:t>
      </w:r>
      <w:r w:rsidRPr="00892A83">
        <w:rPr>
          <w:rFonts w:ascii="Times New Roman" w:hAnsi="Times New Roman" w:cs="Times New Roman"/>
          <w:sz w:val="24"/>
          <w:szCs w:val="24"/>
        </w:rPr>
        <w:t>bu bilgilerin yer aldığı belgeleri beş yıl süreyle muhafaza etmek ve bunlara ilişkin hazırlanacak aylık faaliyet raporlarını Bakanlığa ve Koordinasyon Merkezine göndermekle,</w:t>
      </w:r>
      <w:proofErr w:type="gramEnd"/>
    </w:p>
    <w:p w:rsidR="00FD0282" w:rsidRPr="00892A83" w:rsidRDefault="00FD0282" w:rsidP="00FD0282">
      <w:pPr>
        <w:jc w:val="both"/>
        <w:rPr>
          <w:rFonts w:ascii="Times New Roman" w:hAnsi="Times New Roman" w:cs="Times New Roman"/>
          <w:sz w:val="24"/>
          <w:szCs w:val="24"/>
        </w:rPr>
      </w:pPr>
      <w:proofErr w:type="gramStart"/>
      <w:r w:rsidRPr="00892A83">
        <w:rPr>
          <w:rFonts w:ascii="Times New Roman" w:hAnsi="Times New Roman" w:cs="Times New Roman"/>
          <w:sz w:val="24"/>
          <w:szCs w:val="24"/>
        </w:rPr>
        <w:t>yükümlüdür</w:t>
      </w:r>
      <w:proofErr w:type="gramEnd"/>
      <w:r w:rsidRPr="00892A83">
        <w:rPr>
          <w:rFonts w:ascii="Times New Roman" w:hAnsi="Times New Roman" w:cs="Times New Roman"/>
          <w:sz w:val="24"/>
          <w:szCs w:val="24"/>
        </w:rPr>
        <w:t>.</w:t>
      </w:r>
    </w:p>
    <w:p w:rsidR="00667BBC" w:rsidRPr="00892A83" w:rsidRDefault="00667BBC" w:rsidP="00667BBC">
      <w:pPr>
        <w:spacing w:before="100" w:beforeAutospacing="1" w:after="100" w:afterAutospacing="1" w:line="240" w:lineRule="atLeast"/>
        <w:jc w:val="both"/>
        <w:rPr>
          <w:rFonts w:ascii="Times New Roman" w:hAnsi="Times New Roman" w:cs="Times New Roman"/>
          <w:b/>
          <w:sz w:val="24"/>
          <w:szCs w:val="24"/>
        </w:rPr>
      </w:pPr>
      <w:r w:rsidRPr="00892A83">
        <w:rPr>
          <w:rFonts w:ascii="Times New Roman" w:hAnsi="Times New Roman" w:cs="Times New Roman"/>
          <w:b/>
          <w:sz w:val="24"/>
          <w:szCs w:val="24"/>
        </w:rPr>
        <w:t>MADDE 9 – Aynı Yönetmeliğinin üçüncü bölümünün ve 13 üncü maddesinin başlığı ile birinci ve ikinci fıkrası aşağıdaki şekilde değiştirilmiştir.</w:t>
      </w:r>
    </w:p>
    <w:p w:rsidR="00F7069D" w:rsidRPr="00892A83" w:rsidRDefault="00F7069D" w:rsidP="00F7069D">
      <w:pPr>
        <w:spacing w:line="240" w:lineRule="atLeast"/>
        <w:jc w:val="center"/>
        <w:rPr>
          <w:rFonts w:ascii="Times New Roman" w:hAnsi="Times New Roman" w:cs="Times New Roman"/>
          <w:b/>
          <w:bCs/>
          <w:sz w:val="24"/>
          <w:szCs w:val="24"/>
        </w:rPr>
      </w:pPr>
    </w:p>
    <w:p w:rsidR="00F7069D" w:rsidRPr="00892A83" w:rsidRDefault="00F7069D" w:rsidP="00F7069D">
      <w:pPr>
        <w:spacing w:line="240" w:lineRule="atLeast"/>
        <w:jc w:val="center"/>
        <w:rPr>
          <w:rFonts w:ascii="Times New Roman" w:hAnsi="Times New Roman" w:cs="Times New Roman"/>
          <w:b/>
          <w:bCs/>
          <w:sz w:val="24"/>
          <w:szCs w:val="24"/>
        </w:rPr>
      </w:pPr>
      <w:r w:rsidRPr="00892A83">
        <w:rPr>
          <w:rFonts w:ascii="Times New Roman" w:hAnsi="Times New Roman" w:cs="Times New Roman"/>
          <w:b/>
          <w:bCs/>
          <w:sz w:val="24"/>
          <w:szCs w:val="24"/>
        </w:rPr>
        <w:t>ÜÇÜNCÜ BÖLÜM</w:t>
      </w:r>
    </w:p>
    <w:p w:rsidR="00F7069D" w:rsidRPr="00892A83" w:rsidRDefault="00F7069D" w:rsidP="00F7069D">
      <w:pPr>
        <w:spacing w:line="240" w:lineRule="exact"/>
        <w:jc w:val="center"/>
        <w:rPr>
          <w:rFonts w:ascii="Times New Roman" w:hAnsi="Times New Roman" w:cs="Times New Roman"/>
          <w:b/>
          <w:sz w:val="24"/>
          <w:szCs w:val="24"/>
        </w:rPr>
      </w:pPr>
      <w:r w:rsidRPr="00892A83">
        <w:rPr>
          <w:rFonts w:ascii="Times New Roman" w:hAnsi="Times New Roman" w:cs="Times New Roman"/>
          <w:b/>
          <w:sz w:val="24"/>
          <w:szCs w:val="24"/>
        </w:rPr>
        <w:t xml:space="preserve">Aktarma Merkezleri </w:t>
      </w:r>
      <w:r w:rsidRPr="00D80BD6">
        <w:rPr>
          <w:rFonts w:ascii="Times New Roman" w:hAnsi="Times New Roman" w:cs="Times New Roman"/>
          <w:b/>
          <w:sz w:val="24"/>
          <w:szCs w:val="24"/>
        </w:rPr>
        <w:t xml:space="preserve">ile İşleme Tesislerinin </w:t>
      </w:r>
      <w:r w:rsidRPr="00892A83">
        <w:rPr>
          <w:rFonts w:ascii="Times New Roman" w:hAnsi="Times New Roman" w:cs="Times New Roman"/>
          <w:b/>
          <w:sz w:val="24"/>
          <w:szCs w:val="24"/>
        </w:rPr>
        <w:t>Teknik Özellikleri</w:t>
      </w:r>
    </w:p>
    <w:p w:rsidR="00F7069D" w:rsidRPr="00892A83" w:rsidRDefault="00F7069D" w:rsidP="00F7069D">
      <w:pPr>
        <w:tabs>
          <w:tab w:val="left" w:pos="566"/>
        </w:tabs>
        <w:spacing w:line="240" w:lineRule="exact"/>
        <w:jc w:val="both"/>
        <w:rPr>
          <w:rFonts w:ascii="Times New Roman" w:hAnsi="Times New Roman" w:cs="Times New Roman"/>
          <w:b/>
          <w:sz w:val="24"/>
          <w:szCs w:val="24"/>
        </w:rPr>
      </w:pPr>
    </w:p>
    <w:p w:rsidR="00F7069D" w:rsidRPr="00892A83" w:rsidRDefault="00F7069D" w:rsidP="00F7069D">
      <w:pPr>
        <w:tabs>
          <w:tab w:val="left" w:pos="566"/>
        </w:tabs>
        <w:spacing w:line="240" w:lineRule="exact"/>
        <w:jc w:val="both"/>
        <w:rPr>
          <w:rFonts w:ascii="Times New Roman" w:hAnsi="Times New Roman" w:cs="Times New Roman"/>
          <w:b/>
          <w:sz w:val="24"/>
          <w:szCs w:val="24"/>
        </w:rPr>
      </w:pPr>
      <w:r w:rsidRPr="00892A83">
        <w:rPr>
          <w:rFonts w:ascii="Times New Roman" w:hAnsi="Times New Roman" w:cs="Times New Roman"/>
          <w:b/>
          <w:sz w:val="24"/>
          <w:szCs w:val="24"/>
        </w:rPr>
        <w:t>Aktarma merkezleri</w:t>
      </w:r>
    </w:p>
    <w:p w:rsidR="00F7069D" w:rsidRPr="00892A83" w:rsidRDefault="00F7069D" w:rsidP="00F7069D">
      <w:pPr>
        <w:tabs>
          <w:tab w:val="left" w:pos="566"/>
        </w:tabs>
        <w:spacing w:line="240" w:lineRule="exact"/>
        <w:jc w:val="both"/>
        <w:rPr>
          <w:rFonts w:ascii="Times New Roman" w:hAnsi="Times New Roman" w:cs="Times New Roman"/>
          <w:sz w:val="24"/>
          <w:szCs w:val="24"/>
        </w:rPr>
      </w:pPr>
      <w:r w:rsidRPr="00892A83">
        <w:rPr>
          <w:rFonts w:ascii="Times New Roman" w:hAnsi="Times New Roman" w:cs="Times New Roman"/>
          <w:b/>
          <w:sz w:val="24"/>
          <w:szCs w:val="24"/>
        </w:rPr>
        <w:t>MADDE 13 –</w:t>
      </w:r>
      <w:r w:rsidRPr="00892A83">
        <w:rPr>
          <w:rFonts w:ascii="Times New Roman" w:hAnsi="Times New Roman" w:cs="Times New Roman"/>
          <w:sz w:val="24"/>
          <w:szCs w:val="24"/>
        </w:rPr>
        <w:t xml:space="preserve"> (1) Atık elektrikli ve elektronik eşyaların </w:t>
      </w:r>
      <w:r w:rsidRPr="00D80BD6">
        <w:rPr>
          <w:rFonts w:ascii="Times New Roman" w:hAnsi="Times New Roman" w:cs="Times New Roman"/>
          <w:sz w:val="24"/>
          <w:szCs w:val="24"/>
        </w:rPr>
        <w:t xml:space="preserve">aktarma merkezlerinde toplanması 15 inci maddenin ikinci fıkrasında belirtilen altı grupta yapılır. Bu maksatla aktarma merkezlerinde </w:t>
      </w:r>
      <w:r w:rsidRPr="00892A83">
        <w:rPr>
          <w:rFonts w:ascii="Times New Roman" w:hAnsi="Times New Roman" w:cs="Times New Roman"/>
          <w:sz w:val="24"/>
          <w:szCs w:val="24"/>
        </w:rPr>
        <w:t>döküm alanları ve sınıflandırılan atıkların depolandığı yerlerin kapalı, zeminin geçirimsiz olması ve bu yerlerde;</w:t>
      </w:r>
    </w:p>
    <w:p w:rsidR="00F7069D" w:rsidRPr="00892A83" w:rsidRDefault="00F7069D" w:rsidP="00F7069D">
      <w:pPr>
        <w:tabs>
          <w:tab w:val="left" w:pos="566"/>
        </w:tabs>
        <w:spacing w:line="240" w:lineRule="exact"/>
        <w:ind w:firstLine="566"/>
        <w:jc w:val="both"/>
        <w:rPr>
          <w:rFonts w:ascii="Times New Roman" w:hAnsi="Times New Roman" w:cs="Times New Roman"/>
          <w:sz w:val="24"/>
          <w:szCs w:val="24"/>
        </w:rPr>
      </w:pPr>
      <w:r w:rsidRPr="00892A83">
        <w:rPr>
          <w:rFonts w:ascii="Times New Roman" w:hAnsi="Times New Roman" w:cs="Times New Roman"/>
          <w:sz w:val="24"/>
          <w:szCs w:val="24"/>
        </w:rPr>
        <w:t>a) Kantar ve kayıt sistemi,</w:t>
      </w:r>
    </w:p>
    <w:p w:rsidR="00F7069D" w:rsidRPr="00892A83" w:rsidRDefault="00F7069D" w:rsidP="00F7069D">
      <w:pPr>
        <w:tabs>
          <w:tab w:val="left" w:pos="566"/>
        </w:tabs>
        <w:spacing w:line="240" w:lineRule="exact"/>
        <w:ind w:firstLine="566"/>
        <w:jc w:val="both"/>
        <w:rPr>
          <w:rFonts w:ascii="Times New Roman" w:hAnsi="Times New Roman" w:cs="Times New Roman"/>
          <w:sz w:val="24"/>
          <w:szCs w:val="24"/>
        </w:rPr>
      </w:pPr>
      <w:r w:rsidRPr="00892A83">
        <w:rPr>
          <w:rFonts w:ascii="Times New Roman" w:hAnsi="Times New Roman" w:cs="Times New Roman"/>
          <w:b/>
          <w:color w:val="0070C0"/>
          <w:sz w:val="24"/>
          <w:szCs w:val="24"/>
        </w:rPr>
        <w:t>b</w:t>
      </w:r>
      <w:r w:rsidRPr="00892A83">
        <w:rPr>
          <w:rFonts w:ascii="Times New Roman" w:hAnsi="Times New Roman" w:cs="Times New Roman"/>
          <w:sz w:val="24"/>
          <w:szCs w:val="24"/>
        </w:rPr>
        <w:t>) Sızıntı sularının toplanması için yeterli toplama kanalları,</w:t>
      </w:r>
    </w:p>
    <w:p w:rsidR="00F7069D" w:rsidRPr="00892A83" w:rsidRDefault="00F7069D" w:rsidP="00F7069D">
      <w:pPr>
        <w:tabs>
          <w:tab w:val="left" w:pos="566"/>
        </w:tabs>
        <w:spacing w:line="240" w:lineRule="exact"/>
        <w:ind w:firstLine="566"/>
        <w:jc w:val="both"/>
        <w:rPr>
          <w:rFonts w:ascii="Times New Roman" w:hAnsi="Times New Roman" w:cs="Times New Roman"/>
          <w:sz w:val="24"/>
          <w:szCs w:val="24"/>
        </w:rPr>
      </w:pPr>
      <w:r w:rsidRPr="00892A83">
        <w:rPr>
          <w:rFonts w:ascii="Times New Roman" w:hAnsi="Times New Roman" w:cs="Times New Roman"/>
          <w:b/>
          <w:color w:val="0070C0"/>
          <w:sz w:val="24"/>
          <w:szCs w:val="24"/>
        </w:rPr>
        <w:t>c</w:t>
      </w:r>
      <w:r w:rsidRPr="00892A83">
        <w:rPr>
          <w:rFonts w:ascii="Times New Roman" w:hAnsi="Times New Roman" w:cs="Times New Roman"/>
          <w:sz w:val="24"/>
          <w:szCs w:val="24"/>
        </w:rPr>
        <w:t>) Yağ tutucu ve emici malzeme,</w:t>
      </w:r>
    </w:p>
    <w:p w:rsidR="00F7069D" w:rsidRPr="00892A83" w:rsidRDefault="00F7069D" w:rsidP="00F7069D">
      <w:pPr>
        <w:tabs>
          <w:tab w:val="left" w:pos="566"/>
        </w:tabs>
        <w:spacing w:line="240" w:lineRule="exact"/>
        <w:ind w:firstLine="566"/>
        <w:jc w:val="both"/>
        <w:rPr>
          <w:rFonts w:ascii="Times New Roman" w:hAnsi="Times New Roman" w:cs="Times New Roman"/>
          <w:sz w:val="24"/>
          <w:szCs w:val="24"/>
        </w:rPr>
      </w:pPr>
      <w:r w:rsidRPr="00892A83">
        <w:rPr>
          <w:rFonts w:ascii="Times New Roman" w:hAnsi="Times New Roman" w:cs="Times New Roman"/>
          <w:b/>
          <w:color w:val="0070C0"/>
          <w:sz w:val="24"/>
          <w:szCs w:val="24"/>
        </w:rPr>
        <w:t>ç</w:t>
      </w:r>
      <w:r w:rsidRPr="00892A83">
        <w:rPr>
          <w:rFonts w:ascii="Times New Roman" w:hAnsi="Times New Roman" w:cs="Times New Roman"/>
          <w:sz w:val="24"/>
          <w:szCs w:val="24"/>
        </w:rPr>
        <w:t>) Yangın söndürme sistemi,</w:t>
      </w:r>
    </w:p>
    <w:p w:rsidR="00F7069D" w:rsidRPr="00892A83" w:rsidRDefault="00F7069D" w:rsidP="00F7069D">
      <w:pPr>
        <w:tabs>
          <w:tab w:val="left" w:pos="566"/>
        </w:tabs>
        <w:spacing w:line="240" w:lineRule="exact"/>
        <w:jc w:val="both"/>
        <w:rPr>
          <w:rFonts w:ascii="Times New Roman" w:hAnsi="Times New Roman" w:cs="Times New Roman"/>
          <w:sz w:val="24"/>
          <w:szCs w:val="24"/>
        </w:rPr>
      </w:pPr>
      <w:proofErr w:type="gramStart"/>
      <w:r w:rsidRPr="00892A83">
        <w:rPr>
          <w:rFonts w:ascii="Times New Roman" w:hAnsi="Times New Roman" w:cs="Times New Roman"/>
          <w:sz w:val="24"/>
          <w:szCs w:val="24"/>
        </w:rPr>
        <w:t>bulundurulması</w:t>
      </w:r>
      <w:proofErr w:type="gramEnd"/>
      <w:r w:rsidRPr="00892A83">
        <w:rPr>
          <w:rFonts w:ascii="Times New Roman" w:hAnsi="Times New Roman" w:cs="Times New Roman"/>
          <w:sz w:val="24"/>
          <w:szCs w:val="24"/>
        </w:rPr>
        <w:t xml:space="preserve"> zorunludur.</w:t>
      </w:r>
    </w:p>
    <w:p w:rsidR="00667BBC" w:rsidRPr="00D80BD6" w:rsidRDefault="00CC0AD6" w:rsidP="00FD0282">
      <w:pPr>
        <w:jc w:val="both"/>
        <w:rPr>
          <w:rFonts w:ascii="Times New Roman" w:hAnsi="Times New Roman" w:cs="Times New Roman"/>
          <w:sz w:val="24"/>
          <w:szCs w:val="24"/>
        </w:rPr>
      </w:pPr>
      <w:r w:rsidRPr="00D80BD6">
        <w:rPr>
          <w:rFonts w:ascii="Times New Roman" w:hAnsi="Times New Roman" w:cs="Times New Roman"/>
          <w:sz w:val="24"/>
          <w:szCs w:val="24"/>
        </w:rPr>
        <w:t xml:space="preserve">(2) Aktarma merkezleri </w:t>
      </w:r>
      <w:proofErr w:type="spellStart"/>
      <w:r w:rsidRPr="00D80BD6">
        <w:rPr>
          <w:rFonts w:ascii="Times New Roman" w:hAnsi="Times New Roman" w:cs="Times New Roman"/>
          <w:sz w:val="24"/>
          <w:szCs w:val="24"/>
        </w:rPr>
        <w:t>AEEE’lerin</w:t>
      </w:r>
      <w:proofErr w:type="spellEnd"/>
      <w:r w:rsidRPr="00D80BD6">
        <w:rPr>
          <w:rFonts w:ascii="Times New Roman" w:hAnsi="Times New Roman" w:cs="Times New Roman"/>
          <w:sz w:val="24"/>
          <w:szCs w:val="24"/>
        </w:rPr>
        <w:t xml:space="preserve"> toplanması amacıyla, birinci fıkrada yer alan teknik </w:t>
      </w:r>
      <w:proofErr w:type="gramStart"/>
      <w:r w:rsidRPr="00D80BD6">
        <w:rPr>
          <w:rFonts w:ascii="Times New Roman" w:hAnsi="Times New Roman" w:cs="Times New Roman"/>
          <w:sz w:val="24"/>
          <w:szCs w:val="24"/>
        </w:rPr>
        <w:t>kriterleri</w:t>
      </w:r>
      <w:proofErr w:type="gramEnd"/>
      <w:r w:rsidRPr="00D80BD6">
        <w:rPr>
          <w:rFonts w:ascii="Times New Roman" w:hAnsi="Times New Roman" w:cs="Times New Roman"/>
          <w:sz w:val="24"/>
          <w:szCs w:val="24"/>
        </w:rPr>
        <w:t xml:space="preserve"> sağlayacak şekilde Geçici Faaliyet Belgesi (GFB) veya çevre izin ve lisansına sahip işleme tesisleri, üreticiler veya </w:t>
      </w:r>
      <w:proofErr w:type="spellStart"/>
      <w:r w:rsidRPr="00D80BD6">
        <w:rPr>
          <w:rFonts w:ascii="Times New Roman" w:hAnsi="Times New Roman" w:cs="Times New Roman"/>
          <w:sz w:val="24"/>
          <w:szCs w:val="24"/>
        </w:rPr>
        <w:t>YK’lar</w:t>
      </w:r>
      <w:proofErr w:type="spellEnd"/>
      <w:r w:rsidRPr="00D80BD6">
        <w:rPr>
          <w:rFonts w:ascii="Times New Roman" w:hAnsi="Times New Roman" w:cs="Times New Roman"/>
          <w:sz w:val="24"/>
          <w:szCs w:val="24"/>
        </w:rPr>
        <w:t xml:space="preserve"> tarafından kurulur ve işletilir. Aktarma merkezleri aracılığıyla toplanan atıklar, 22 </w:t>
      </w:r>
      <w:proofErr w:type="spellStart"/>
      <w:r w:rsidRPr="00D80BD6">
        <w:rPr>
          <w:rFonts w:ascii="Times New Roman" w:hAnsi="Times New Roman" w:cs="Times New Roman"/>
          <w:sz w:val="24"/>
          <w:szCs w:val="24"/>
        </w:rPr>
        <w:t>nci</w:t>
      </w:r>
      <w:proofErr w:type="spellEnd"/>
      <w:r w:rsidRPr="00D80BD6">
        <w:rPr>
          <w:rFonts w:ascii="Times New Roman" w:hAnsi="Times New Roman" w:cs="Times New Roman"/>
          <w:sz w:val="24"/>
          <w:szCs w:val="24"/>
        </w:rPr>
        <w:t xml:space="preserve"> madde uyarınca oluşturulan Koordinasyon Merkezine bildirilir.</w:t>
      </w:r>
    </w:p>
    <w:p w:rsidR="00B16542" w:rsidRPr="00D80BD6" w:rsidRDefault="00B16542" w:rsidP="00B16542">
      <w:pPr>
        <w:spacing w:before="100" w:beforeAutospacing="1" w:after="100" w:afterAutospacing="1" w:line="240" w:lineRule="atLeast"/>
        <w:jc w:val="both"/>
        <w:rPr>
          <w:rFonts w:ascii="Times New Roman" w:hAnsi="Times New Roman" w:cs="Times New Roman"/>
          <w:sz w:val="24"/>
          <w:szCs w:val="24"/>
        </w:rPr>
      </w:pPr>
    </w:p>
    <w:p w:rsidR="00B16542" w:rsidRPr="00892A83" w:rsidRDefault="00B16542" w:rsidP="00B16542">
      <w:pPr>
        <w:spacing w:before="100" w:beforeAutospacing="1" w:after="100" w:afterAutospacing="1" w:line="240" w:lineRule="atLeast"/>
        <w:jc w:val="both"/>
        <w:rPr>
          <w:rFonts w:ascii="Times New Roman" w:hAnsi="Times New Roman" w:cs="Times New Roman"/>
          <w:sz w:val="24"/>
          <w:szCs w:val="24"/>
        </w:rPr>
      </w:pPr>
      <w:r w:rsidRPr="00892A83">
        <w:rPr>
          <w:rFonts w:ascii="Times New Roman" w:hAnsi="Times New Roman" w:cs="Times New Roman"/>
          <w:b/>
          <w:sz w:val="24"/>
          <w:szCs w:val="24"/>
        </w:rPr>
        <w:lastRenderedPageBreak/>
        <w:t xml:space="preserve">MADDE 10 – Aynı Yönetmeliğinin 14 üncü maddesinin birinci fıkrası ile beşinci fıkrası aşağıdaki gibi değiştirilmiştir. </w:t>
      </w:r>
    </w:p>
    <w:p w:rsidR="00B16542" w:rsidRPr="00892A83" w:rsidRDefault="00B16542" w:rsidP="00B16542">
      <w:pPr>
        <w:jc w:val="both"/>
        <w:rPr>
          <w:rFonts w:ascii="Times New Roman" w:hAnsi="Times New Roman" w:cs="Times New Roman"/>
          <w:b/>
          <w:bCs/>
          <w:color w:val="1C283D"/>
          <w:sz w:val="24"/>
          <w:szCs w:val="24"/>
        </w:rPr>
      </w:pPr>
    </w:p>
    <w:p w:rsidR="00B16542" w:rsidRPr="00892A83" w:rsidRDefault="00B16542" w:rsidP="00B16542">
      <w:pPr>
        <w:jc w:val="both"/>
        <w:rPr>
          <w:rFonts w:ascii="Times New Roman" w:hAnsi="Times New Roman" w:cs="Times New Roman"/>
          <w:b/>
          <w:bCs/>
          <w:color w:val="1C283D"/>
          <w:sz w:val="24"/>
          <w:szCs w:val="24"/>
        </w:rPr>
      </w:pPr>
      <w:r w:rsidRPr="00892A83">
        <w:rPr>
          <w:rFonts w:ascii="Times New Roman" w:hAnsi="Times New Roman" w:cs="Times New Roman"/>
          <w:b/>
          <w:bCs/>
          <w:color w:val="1C283D"/>
          <w:sz w:val="24"/>
          <w:szCs w:val="24"/>
        </w:rPr>
        <w:t>İşleme tesisleri teknik özellikleri</w:t>
      </w:r>
    </w:p>
    <w:p w:rsidR="00B16542" w:rsidRPr="00892A83" w:rsidRDefault="00B16542" w:rsidP="00B16542">
      <w:pPr>
        <w:jc w:val="both"/>
        <w:rPr>
          <w:rFonts w:ascii="Times New Roman" w:hAnsi="Times New Roman" w:cs="Times New Roman"/>
          <w:b/>
          <w:sz w:val="24"/>
          <w:szCs w:val="24"/>
        </w:rPr>
      </w:pPr>
      <w:r w:rsidRPr="00892A83">
        <w:rPr>
          <w:rFonts w:ascii="Times New Roman" w:hAnsi="Times New Roman" w:cs="Times New Roman"/>
          <w:b/>
          <w:sz w:val="24"/>
          <w:szCs w:val="24"/>
        </w:rPr>
        <w:t xml:space="preserve">MADDE 14 – </w:t>
      </w:r>
    </w:p>
    <w:p w:rsidR="00FD0282" w:rsidRPr="00892A83" w:rsidRDefault="00B16542" w:rsidP="00B16542">
      <w:pPr>
        <w:jc w:val="both"/>
        <w:rPr>
          <w:rFonts w:ascii="Times New Roman" w:hAnsi="Times New Roman" w:cs="Times New Roman"/>
          <w:b/>
          <w:sz w:val="24"/>
          <w:szCs w:val="24"/>
        </w:rPr>
      </w:pPr>
      <w:r w:rsidRPr="00D80BD6">
        <w:rPr>
          <w:rFonts w:ascii="Times New Roman" w:hAnsi="Times New Roman" w:cs="Times New Roman"/>
          <w:sz w:val="24"/>
          <w:szCs w:val="24"/>
        </w:rPr>
        <w:t xml:space="preserve">(1) </w:t>
      </w:r>
      <w:r w:rsidRPr="00D80BD6">
        <w:rPr>
          <w:rFonts w:ascii="Times New Roman" w:hAnsi="Times New Roman" w:cs="Times New Roman"/>
          <w:bCs/>
          <w:sz w:val="24"/>
          <w:szCs w:val="24"/>
        </w:rPr>
        <w:t xml:space="preserve">İşleme tesisleri için bu maddenin birinci fıkrasında belirtilen şartlara ek olarak bu Yönetmeliğin Ek-4’ünde belirtilen teknik şartların sağlanması ve “İşyerleri – Atık elektrikli ve elektronik eşya işleme tesisleri için kurallar” başlıklı TS 13615 Standardında verilen şartlara uyum sağlanması zorunludur. </w:t>
      </w:r>
      <w:r w:rsidRPr="00D80BD6">
        <w:rPr>
          <w:rFonts w:ascii="Times New Roman" w:hAnsi="Times New Roman" w:cs="Times New Roman"/>
          <w:sz w:val="24"/>
          <w:szCs w:val="24"/>
        </w:rPr>
        <w:t>Atık elektrikli ve elektronik eşyaların işleme tesislerinde depolanması 15 inci maddenin ikinci fıkrasında belirtilen altı grupta yapılır. Bu maksatla işleme tesislerinde bulunan depolama yerlerinde döküm alanları ve sınıflandırılan atıkların depolandığı yerlerin kapalı, zemininin geçirimsiz olması gerekmektedir.</w:t>
      </w:r>
      <w:r w:rsidRPr="00D80BD6">
        <w:rPr>
          <w:rFonts w:ascii="Times New Roman" w:hAnsi="Times New Roman" w:cs="Times New Roman"/>
          <w:b/>
          <w:sz w:val="24"/>
          <w:szCs w:val="24"/>
        </w:rPr>
        <w:t xml:space="preserve"> </w:t>
      </w:r>
      <w:r w:rsidRPr="00892A83">
        <w:rPr>
          <w:rFonts w:ascii="Times New Roman" w:hAnsi="Times New Roman" w:cs="Times New Roman"/>
          <w:bCs/>
          <w:color w:val="1C283D"/>
          <w:sz w:val="24"/>
          <w:szCs w:val="24"/>
        </w:rPr>
        <w:t>Bununla birlikte Ek-4 listesinde belirtilen teknik şartların yerine Bakanlığın uygun görüşü alınarak alternatif teknolojiler kullanılabilir.</w:t>
      </w:r>
    </w:p>
    <w:p w:rsidR="00B16542" w:rsidRPr="00892A83" w:rsidRDefault="00B16542" w:rsidP="00B16542">
      <w:pPr>
        <w:jc w:val="both"/>
        <w:rPr>
          <w:rFonts w:ascii="Times New Roman" w:hAnsi="Times New Roman" w:cs="Times New Roman"/>
          <w:bCs/>
          <w:color w:val="1C283D"/>
          <w:sz w:val="24"/>
          <w:szCs w:val="24"/>
        </w:rPr>
      </w:pPr>
      <w:r w:rsidRPr="00892A83">
        <w:rPr>
          <w:rFonts w:ascii="Times New Roman" w:hAnsi="Times New Roman" w:cs="Times New Roman"/>
          <w:bCs/>
          <w:sz w:val="24"/>
          <w:szCs w:val="24"/>
        </w:rPr>
        <w:t>(5)</w:t>
      </w:r>
      <w:r w:rsidRPr="00892A83">
        <w:rPr>
          <w:rFonts w:ascii="Times New Roman" w:hAnsi="Times New Roman" w:cs="Times New Roman"/>
          <w:bCs/>
          <w:color w:val="1C283D"/>
          <w:sz w:val="24"/>
          <w:szCs w:val="24"/>
        </w:rPr>
        <w:t xml:space="preserve"> Atık elektrikli ve elektronik eşyalar ile bu atıkları depolayan, işleyen, geri kazanan ve bertaraf eden tesislerden kaynaklanan atıkların </w:t>
      </w:r>
      <w:r w:rsidRPr="00D80BD6">
        <w:rPr>
          <w:rFonts w:ascii="Times New Roman" w:hAnsi="Times New Roman" w:cs="Times New Roman"/>
          <w:bCs/>
          <w:sz w:val="24"/>
          <w:szCs w:val="24"/>
        </w:rPr>
        <w:t>Çevre İzin ve Lisans Yönetmeliği kapsamında; Geçici Faaliyet Belgesi (GFB)</w:t>
      </w:r>
      <w:r w:rsidRPr="00892A83">
        <w:rPr>
          <w:rFonts w:ascii="Times New Roman" w:hAnsi="Times New Roman" w:cs="Times New Roman"/>
          <w:bCs/>
          <w:color w:val="1C283D"/>
          <w:sz w:val="24"/>
          <w:szCs w:val="24"/>
        </w:rPr>
        <w:t xml:space="preserve"> veya çevre izin ve lisansı almış tesislerde geri kazanılması ve/veya bertaraf edilmeleri gerekir.</w:t>
      </w:r>
    </w:p>
    <w:p w:rsidR="00FD0282" w:rsidRPr="00892A83" w:rsidRDefault="00FD0282" w:rsidP="002300A7">
      <w:pPr>
        <w:jc w:val="both"/>
        <w:rPr>
          <w:rFonts w:ascii="Times New Roman" w:hAnsi="Times New Roman" w:cs="Times New Roman"/>
          <w:b/>
          <w:sz w:val="24"/>
          <w:szCs w:val="24"/>
        </w:rPr>
      </w:pPr>
    </w:p>
    <w:p w:rsidR="00281C6E" w:rsidRPr="00892A83" w:rsidRDefault="00281C6E" w:rsidP="00281C6E">
      <w:pPr>
        <w:jc w:val="both"/>
        <w:rPr>
          <w:rFonts w:ascii="Times New Roman" w:hAnsi="Times New Roman" w:cs="Times New Roman"/>
          <w:b/>
          <w:sz w:val="24"/>
          <w:szCs w:val="24"/>
        </w:rPr>
      </w:pPr>
      <w:r w:rsidRPr="00892A83">
        <w:rPr>
          <w:rFonts w:ascii="Times New Roman" w:hAnsi="Times New Roman" w:cs="Times New Roman"/>
          <w:b/>
          <w:sz w:val="24"/>
          <w:szCs w:val="24"/>
        </w:rPr>
        <w:t>MADDE 11</w:t>
      </w:r>
      <w:r w:rsidR="00932679" w:rsidRPr="00892A83">
        <w:rPr>
          <w:rFonts w:ascii="Times New Roman" w:hAnsi="Times New Roman" w:cs="Times New Roman"/>
          <w:sz w:val="24"/>
          <w:szCs w:val="24"/>
        </w:rPr>
        <w:t xml:space="preserve"> –</w:t>
      </w:r>
      <w:r w:rsidR="002300A7" w:rsidRPr="00892A83">
        <w:rPr>
          <w:rFonts w:ascii="Times New Roman" w:hAnsi="Times New Roman" w:cs="Times New Roman"/>
          <w:sz w:val="24"/>
          <w:szCs w:val="24"/>
        </w:rPr>
        <w:t xml:space="preserve"> </w:t>
      </w:r>
      <w:r w:rsidRPr="00892A83">
        <w:rPr>
          <w:rFonts w:ascii="Times New Roman" w:hAnsi="Times New Roman" w:cs="Times New Roman"/>
          <w:b/>
          <w:sz w:val="24"/>
          <w:szCs w:val="24"/>
        </w:rPr>
        <w:t xml:space="preserve">Aynı Yönetmeliğinin 15 inci maddesinin birinci fıkrası </w:t>
      </w:r>
      <w:r w:rsidR="00BC2DFE" w:rsidRPr="00892A83">
        <w:rPr>
          <w:rFonts w:ascii="Times New Roman" w:hAnsi="Times New Roman" w:cs="Times New Roman"/>
          <w:b/>
          <w:sz w:val="24"/>
          <w:szCs w:val="24"/>
        </w:rPr>
        <w:t xml:space="preserve">ve ikinci fıkrasının (b) bendi </w:t>
      </w:r>
      <w:r w:rsidRPr="00892A83">
        <w:rPr>
          <w:rFonts w:ascii="Times New Roman" w:hAnsi="Times New Roman" w:cs="Times New Roman"/>
          <w:b/>
          <w:sz w:val="24"/>
          <w:szCs w:val="24"/>
        </w:rPr>
        <w:t xml:space="preserve">aşağıdaki şekilde değiştirilmiştir. </w:t>
      </w:r>
    </w:p>
    <w:p w:rsidR="00281C6E" w:rsidRPr="00D80BD6" w:rsidRDefault="00281C6E" w:rsidP="00281C6E">
      <w:pPr>
        <w:jc w:val="both"/>
        <w:rPr>
          <w:rFonts w:ascii="Times New Roman" w:hAnsi="Times New Roman" w:cs="Times New Roman"/>
          <w:sz w:val="24"/>
          <w:szCs w:val="24"/>
        </w:rPr>
      </w:pPr>
      <w:r w:rsidRPr="00892A83">
        <w:rPr>
          <w:rFonts w:ascii="Times New Roman" w:hAnsi="Times New Roman" w:cs="Times New Roman"/>
          <w:b/>
          <w:sz w:val="24"/>
          <w:szCs w:val="24"/>
        </w:rPr>
        <w:t xml:space="preserve">MADDE 15 – </w:t>
      </w:r>
      <w:r w:rsidRPr="00D80BD6">
        <w:rPr>
          <w:rFonts w:ascii="Times New Roman" w:hAnsi="Times New Roman" w:cs="Times New Roman"/>
          <w:sz w:val="24"/>
          <w:szCs w:val="24"/>
        </w:rPr>
        <w:t xml:space="preserve">(1) Üreticiler, </w:t>
      </w:r>
      <w:proofErr w:type="gramStart"/>
      <w:r w:rsidRPr="00D80BD6">
        <w:rPr>
          <w:rFonts w:ascii="Times New Roman" w:hAnsi="Times New Roman" w:cs="Times New Roman"/>
          <w:sz w:val="24"/>
          <w:szCs w:val="24"/>
        </w:rPr>
        <w:t>1/1/2016</w:t>
      </w:r>
      <w:proofErr w:type="gramEnd"/>
      <w:r w:rsidRPr="00D80BD6">
        <w:rPr>
          <w:rFonts w:ascii="Times New Roman" w:hAnsi="Times New Roman" w:cs="Times New Roman"/>
          <w:sz w:val="24"/>
          <w:szCs w:val="24"/>
        </w:rPr>
        <w:t xml:space="preserve"> tarihinden önceki toplama hedeflerine, aşağıda</w:t>
      </w:r>
      <w:r w:rsidR="002774F5" w:rsidRPr="00D80BD6">
        <w:rPr>
          <w:rFonts w:ascii="Times New Roman" w:hAnsi="Times New Roman" w:cs="Times New Roman"/>
          <w:sz w:val="24"/>
          <w:szCs w:val="24"/>
        </w:rPr>
        <w:t xml:space="preserve"> Tablo-1’de</w:t>
      </w:r>
      <w:r w:rsidRPr="00D80BD6">
        <w:rPr>
          <w:rFonts w:ascii="Times New Roman" w:hAnsi="Times New Roman" w:cs="Times New Roman"/>
          <w:sz w:val="24"/>
          <w:szCs w:val="24"/>
        </w:rPr>
        <w:t xml:space="preserve"> verilen yıllara göre kg/kişi-yıl veya yüzde olarak ulaşılmasını sağlar. </w:t>
      </w:r>
      <w:r w:rsidR="002774F5" w:rsidRPr="00D80BD6">
        <w:rPr>
          <w:rFonts w:ascii="Times New Roman" w:hAnsi="Times New Roman" w:cs="Times New Roman"/>
          <w:sz w:val="24"/>
          <w:szCs w:val="24"/>
        </w:rPr>
        <w:t>Bu tarihten sonra Tablo-2’de verilen hedeflere uyulması gerekmektedir.</w:t>
      </w:r>
    </w:p>
    <w:p w:rsidR="00281C6E" w:rsidRPr="00892A83" w:rsidRDefault="00281C6E" w:rsidP="002300A7">
      <w:pPr>
        <w:jc w:val="both"/>
        <w:rPr>
          <w:rFonts w:ascii="Times New Roman" w:hAnsi="Times New Roman" w:cs="Times New Roman"/>
          <w:sz w:val="24"/>
          <w:szCs w:val="24"/>
        </w:rPr>
      </w:pPr>
    </w:p>
    <w:tbl>
      <w:tblPr>
        <w:tblpPr w:leftFromText="180" w:rightFromText="180" w:vertAnchor="text" w:horzAnchor="margin" w:tblpXSpec="center" w:tblpY="-144"/>
        <w:tblOverlap w:val="never"/>
        <w:tblW w:w="7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4"/>
        <w:gridCol w:w="1281"/>
        <w:gridCol w:w="1417"/>
        <w:gridCol w:w="1473"/>
      </w:tblGrid>
      <w:tr w:rsidR="00942DA8" w:rsidRPr="00942DA8" w:rsidTr="002219BE">
        <w:trPr>
          <w:trHeight w:val="19"/>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rsidR="00281C6E" w:rsidRPr="00942DA8" w:rsidRDefault="00281C6E" w:rsidP="002219BE">
            <w:pPr>
              <w:spacing w:line="20" w:lineRule="atLeast"/>
              <w:jc w:val="center"/>
              <w:rPr>
                <w:rFonts w:ascii="Times New Roman" w:hAnsi="Times New Roman" w:cs="Times New Roman"/>
                <w:b/>
                <w:sz w:val="18"/>
                <w:szCs w:val="18"/>
                <w:lang w:val="it-IT"/>
              </w:rPr>
            </w:pPr>
            <w:r w:rsidRPr="00942DA8">
              <w:rPr>
                <w:rFonts w:ascii="Times New Roman" w:hAnsi="Times New Roman" w:cs="Times New Roman"/>
                <w:b/>
                <w:sz w:val="18"/>
                <w:szCs w:val="18"/>
                <w:lang w:val="it-IT"/>
              </w:rPr>
              <w:t>EEE Kategorileri</w:t>
            </w:r>
          </w:p>
        </w:tc>
        <w:tc>
          <w:tcPr>
            <w:tcW w:w="4171" w:type="dxa"/>
            <w:gridSpan w:val="3"/>
            <w:tcBorders>
              <w:top w:val="single" w:sz="4" w:space="0" w:color="auto"/>
              <w:left w:val="single" w:sz="4" w:space="0" w:color="auto"/>
              <w:bottom w:val="single" w:sz="4" w:space="0" w:color="auto"/>
              <w:right w:val="single" w:sz="4" w:space="0" w:color="auto"/>
            </w:tcBorders>
            <w:hideMark/>
          </w:tcPr>
          <w:p w:rsidR="00281C6E" w:rsidRPr="00942DA8" w:rsidRDefault="00281C6E" w:rsidP="002219BE">
            <w:pPr>
              <w:spacing w:line="20" w:lineRule="atLeast"/>
              <w:jc w:val="center"/>
              <w:rPr>
                <w:rFonts w:ascii="Times New Roman" w:hAnsi="Times New Roman" w:cs="Times New Roman"/>
                <w:b/>
                <w:snapToGrid w:val="0"/>
                <w:sz w:val="18"/>
                <w:szCs w:val="18"/>
                <w:lang w:val="it-IT"/>
              </w:rPr>
            </w:pPr>
            <w:r w:rsidRPr="00942DA8">
              <w:rPr>
                <w:rFonts w:ascii="Times New Roman" w:hAnsi="Times New Roman" w:cs="Times New Roman"/>
                <w:b/>
                <w:snapToGrid w:val="0"/>
                <w:sz w:val="18"/>
                <w:szCs w:val="18"/>
                <w:lang w:val="it-IT"/>
              </w:rPr>
              <w:t>Yıllara Göre Toplama Hedefi (kg/kişi-yıl)/ Yüzde (%)</w:t>
            </w:r>
          </w:p>
        </w:tc>
      </w:tr>
      <w:tr w:rsidR="00942DA8" w:rsidRPr="00942DA8" w:rsidTr="002219BE">
        <w:trPr>
          <w:trHeight w:val="192"/>
        </w:trPr>
        <w:tc>
          <w:tcPr>
            <w:tcW w:w="3534" w:type="dxa"/>
            <w:vMerge/>
            <w:tcBorders>
              <w:top w:val="single" w:sz="4" w:space="0" w:color="auto"/>
              <w:left w:val="single" w:sz="4" w:space="0" w:color="auto"/>
              <w:bottom w:val="single" w:sz="4" w:space="0" w:color="auto"/>
              <w:right w:val="single" w:sz="4" w:space="0" w:color="auto"/>
            </w:tcBorders>
            <w:vAlign w:val="center"/>
            <w:hideMark/>
          </w:tcPr>
          <w:p w:rsidR="00281C6E" w:rsidRPr="00942DA8" w:rsidRDefault="00281C6E" w:rsidP="002219BE">
            <w:pPr>
              <w:rPr>
                <w:rFonts w:ascii="Times New Roman" w:hAnsi="Times New Roman" w:cs="Times New Roman"/>
                <w:sz w:val="18"/>
                <w:szCs w:val="18"/>
                <w:lang w:val="it-IT"/>
              </w:rPr>
            </w:pPr>
          </w:p>
        </w:tc>
        <w:tc>
          <w:tcPr>
            <w:tcW w:w="1281" w:type="dxa"/>
            <w:tcBorders>
              <w:top w:val="single" w:sz="4" w:space="0" w:color="auto"/>
              <w:left w:val="single" w:sz="4" w:space="0" w:color="auto"/>
              <w:right w:val="single" w:sz="4" w:space="0" w:color="auto"/>
            </w:tcBorders>
            <w:vAlign w:val="center"/>
            <w:hideMark/>
          </w:tcPr>
          <w:p w:rsidR="00281C6E" w:rsidRPr="00942DA8" w:rsidRDefault="00281C6E" w:rsidP="002219BE">
            <w:pPr>
              <w:jc w:val="center"/>
              <w:rPr>
                <w:rFonts w:ascii="Times New Roman" w:hAnsi="Times New Roman" w:cs="Times New Roman"/>
                <w:b/>
                <w:snapToGrid w:val="0"/>
                <w:sz w:val="18"/>
                <w:szCs w:val="18"/>
                <w:lang w:val="it-IT"/>
              </w:rPr>
            </w:pPr>
            <w:r w:rsidRPr="00942DA8">
              <w:rPr>
                <w:rFonts w:ascii="Times New Roman" w:hAnsi="Times New Roman" w:cs="Times New Roman"/>
                <w:b/>
                <w:snapToGrid w:val="0"/>
                <w:sz w:val="18"/>
                <w:szCs w:val="18"/>
                <w:lang w:val="it-IT"/>
              </w:rPr>
              <w:t>2013</w:t>
            </w:r>
          </w:p>
        </w:tc>
        <w:tc>
          <w:tcPr>
            <w:tcW w:w="1417" w:type="dxa"/>
            <w:tcBorders>
              <w:top w:val="single" w:sz="4" w:space="0" w:color="auto"/>
              <w:left w:val="single" w:sz="4" w:space="0" w:color="auto"/>
              <w:right w:val="single" w:sz="4" w:space="0" w:color="auto"/>
            </w:tcBorders>
            <w:vAlign w:val="center"/>
          </w:tcPr>
          <w:p w:rsidR="00281C6E" w:rsidRPr="00942DA8" w:rsidRDefault="00281C6E" w:rsidP="002219BE">
            <w:pPr>
              <w:jc w:val="center"/>
              <w:rPr>
                <w:rFonts w:ascii="Times New Roman" w:hAnsi="Times New Roman" w:cs="Times New Roman"/>
                <w:b/>
                <w:snapToGrid w:val="0"/>
                <w:sz w:val="18"/>
                <w:szCs w:val="18"/>
                <w:lang w:val="it-IT"/>
              </w:rPr>
            </w:pPr>
            <w:r w:rsidRPr="00942DA8">
              <w:rPr>
                <w:rFonts w:ascii="Times New Roman" w:hAnsi="Times New Roman" w:cs="Times New Roman"/>
                <w:b/>
                <w:snapToGrid w:val="0"/>
                <w:sz w:val="18"/>
                <w:szCs w:val="18"/>
                <w:lang w:val="it-IT"/>
              </w:rPr>
              <w:t>2014</w:t>
            </w:r>
          </w:p>
        </w:tc>
        <w:tc>
          <w:tcPr>
            <w:tcW w:w="1473" w:type="dxa"/>
            <w:tcBorders>
              <w:top w:val="single" w:sz="4" w:space="0" w:color="auto"/>
              <w:left w:val="single" w:sz="4" w:space="0" w:color="auto"/>
              <w:right w:val="single" w:sz="4" w:space="0" w:color="auto"/>
            </w:tcBorders>
            <w:vAlign w:val="center"/>
          </w:tcPr>
          <w:p w:rsidR="00281C6E" w:rsidRPr="00942DA8" w:rsidRDefault="00281C6E" w:rsidP="002219BE">
            <w:pPr>
              <w:jc w:val="center"/>
              <w:rPr>
                <w:rFonts w:ascii="Times New Roman" w:hAnsi="Times New Roman" w:cs="Times New Roman"/>
                <w:b/>
                <w:snapToGrid w:val="0"/>
                <w:sz w:val="18"/>
                <w:szCs w:val="18"/>
                <w:lang w:val="it-IT"/>
              </w:rPr>
            </w:pPr>
            <w:r w:rsidRPr="00942DA8">
              <w:rPr>
                <w:rFonts w:ascii="Times New Roman" w:hAnsi="Times New Roman" w:cs="Times New Roman"/>
                <w:b/>
                <w:snapToGrid w:val="0"/>
                <w:sz w:val="18"/>
                <w:szCs w:val="18"/>
                <w:lang w:val="it-IT"/>
              </w:rPr>
              <w:t>2015</w:t>
            </w:r>
          </w:p>
        </w:tc>
      </w:tr>
      <w:tr w:rsidR="00942DA8" w:rsidRPr="00942DA8"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942DA8" w:rsidRDefault="00281C6E" w:rsidP="002219BE">
            <w:pPr>
              <w:spacing w:line="20" w:lineRule="atLeast"/>
              <w:rPr>
                <w:rFonts w:ascii="Times New Roman" w:hAnsi="Times New Roman" w:cs="Times New Roman"/>
                <w:sz w:val="18"/>
                <w:szCs w:val="18"/>
                <w:lang w:val="it-IT"/>
              </w:rPr>
            </w:pPr>
            <w:r w:rsidRPr="00942DA8">
              <w:rPr>
                <w:rFonts w:ascii="Times New Roman" w:hAnsi="Times New Roman" w:cs="Times New Roman"/>
                <w:sz w:val="18"/>
                <w:szCs w:val="18"/>
                <w:lang w:val="it-IT"/>
              </w:rPr>
              <w:t xml:space="preserve">1. </w:t>
            </w:r>
            <w:r w:rsidRPr="00942DA8">
              <w:rPr>
                <w:rFonts w:ascii="Times New Roman" w:hAnsi="Times New Roman" w:cs="Times New Roman"/>
                <w:snapToGrid w:val="0"/>
                <w:sz w:val="18"/>
                <w:szCs w:val="18"/>
              </w:rPr>
              <w:t>Buzdolabı/Soğutucular/İklimlendirme cihazları</w:t>
            </w:r>
          </w:p>
        </w:tc>
        <w:tc>
          <w:tcPr>
            <w:tcW w:w="1281" w:type="dxa"/>
            <w:tcBorders>
              <w:left w:val="single" w:sz="4" w:space="0" w:color="auto"/>
              <w:right w:val="single" w:sz="4" w:space="0" w:color="auto"/>
            </w:tcBorders>
            <w:hideMark/>
          </w:tcPr>
          <w:p w:rsidR="00281C6E" w:rsidRPr="00942DA8" w:rsidRDefault="00281C6E" w:rsidP="002219BE">
            <w:pPr>
              <w:spacing w:line="20" w:lineRule="atLeast"/>
              <w:jc w:val="center"/>
              <w:rPr>
                <w:rFonts w:ascii="Times New Roman" w:hAnsi="Times New Roman" w:cs="Times New Roman"/>
                <w:sz w:val="18"/>
                <w:szCs w:val="18"/>
                <w:lang w:val="it-IT"/>
              </w:rPr>
            </w:pPr>
            <w:r w:rsidRPr="00942DA8">
              <w:rPr>
                <w:rFonts w:ascii="Times New Roman" w:hAnsi="Times New Roman" w:cs="Times New Roman"/>
                <w:sz w:val="18"/>
                <w:szCs w:val="18"/>
                <w:lang w:val="it-IT"/>
              </w:rPr>
              <w:t xml:space="preserve">0,05 / </w:t>
            </w:r>
            <w:r w:rsidRPr="00942DA8">
              <w:rPr>
                <w:rFonts w:ascii="Times New Roman" w:hAnsi="Times New Roman" w:cs="Times New Roman"/>
                <w:sz w:val="18"/>
                <w:szCs w:val="18"/>
              </w:rPr>
              <w:t>1,25</w:t>
            </w:r>
          </w:p>
        </w:tc>
        <w:tc>
          <w:tcPr>
            <w:tcW w:w="1417" w:type="dxa"/>
            <w:tcBorders>
              <w:left w:val="single" w:sz="4" w:space="0" w:color="auto"/>
              <w:right w:val="single" w:sz="4" w:space="0" w:color="auto"/>
            </w:tcBorders>
          </w:tcPr>
          <w:p w:rsidR="00281C6E" w:rsidRPr="00942DA8" w:rsidRDefault="00281C6E" w:rsidP="002219BE">
            <w:pPr>
              <w:spacing w:line="20" w:lineRule="atLeast"/>
              <w:jc w:val="center"/>
              <w:rPr>
                <w:rFonts w:ascii="Times New Roman" w:hAnsi="Times New Roman" w:cs="Times New Roman"/>
                <w:sz w:val="18"/>
                <w:szCs w:val="18"/>
                <w:lang w:val="it-IT"/>
              </w:rPr>
            </w:pPr>
            <w:r w:rsidRPr="00942DA8">
              <w:rPr>
                <w:rFonts w:ascii="Times New Roman" w:hAnsi="Times New Roman" w:cs="Times New Roman"/>
                <w:sz w:val="18"/>
                <w:szCs w:val="18"/>
                <w:lang w:val="it-IT"/>
              </w:rPr>
              <w:t xml:space="preserve">0,09 / </w:t>
            </w:r>
            <w:r w:rsidRPr="00942DA8">
              <w:rPr>
                <w:rFonts w:ascii="Times New Roman" w:hAnsi="Times New Roman" w:cs="Times New Roman"/>
                <w:sz w:val="18"/>
                <w:szCs w:val="18"/>
              </w:rPr>
              <w:t>2,25</w:t>
            </w:r>
          </w:p>
        </w:tc>
        <w:tc>
          <w:tcPr>
            <w:tcW w:w="1473" w:type="dxa"/>
            <w:tcBorders>
              <w:left w:val="single" w:sz="4" w:space="0" w:color="auto"/>
              <w:right w:val="single" w:sz="4" w:space="0" w:color="auto"/>
            </w:tcBorders>
          </w:tcPr>
          <w:p w:rsidR="00281C6E" w:rsidRPr="00942DA8" w:rsidRDefault="00281C6E" w:rsidP="002219BE">
            <w:pPr>
              <w:spacing w:line="20" w:lineRule="atLeast"/>
              <w:jc w:val="center"/>
              <w:rPr>
                <w:rFonts w:ascii="Times New Roman" w:hAnsi="Times New Roman" w:cs="Times New Roman"/>
                <w:sz w:val="18"/>
                <w:szCs w:val="18"/>
                <w:lang w:val="it-IT"/>
              </w:rPr>
            </w:pPr>
            <w:r w:rsidRPr="00942DA8">
              <w:rPr>
                <w:rFonts w:ascii="Times New Roman" w:hAnsi="Times New Roman" w:cs="Times New Roman"/>
                <w:sz w:val="18"/>
                <w:szCs w:val="18"/>
                <w:lang w:val="it-IT"/>
              </w:rPr>
              <w:t xml:space="preserve">0,17 / </w:t>
            </w:r>
            <w:r w:rsidRPr="00942DA8">
              <w:rPr>
                <w:rFonts w:ascii="Times New Roman" w:hAnsi="Times New Roman" w:cs="Times New Roman"/>
                <w:sz w:val="18"/>
                <w:szCs w:val="18"/>
              </w:rPr>
              <w:t>4,25</w:t>
            </w:r>
          </w:p>
        </w:tc>
      </w:tr>
      <w:tr w:rsidR="00942DA8" w:rsidRPr="00942DA8"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942DA8" w:rsidRDefault="00281C6E" w:rsidP="002219BE">
            <w:pPr>
              <w:spacing w:line="20" w:lineRule="atLeast"/>
              <w:rPr>
                <w:rFonts w:ascii="Times New Roman" w:hAnsi="Times New Roman" w:cs="Times New Roman"/>
                <w:sz w:val="18"/>
                <w:szCs w:val="18"/>
                <w:lang w:val="it-IT"/>
              </w:rPr>
            </w:pPr>
            <w:r w:rsidRPr="00942DA8">
              <w:rPr>
                <w:rFonts w:ascii="Times New Roman" w:hAnsi="Times New Roman" w:cs="Times New Roman"/>
                <w:snapToGrid w:val="0"/>
                <w:sz w:val="18"/>
                <w:szCs w:val="18"/>
                <w:lang w:val="it-IT"/>
              </w:rPr>
              <w:t>2.</w:t>
            </w:r>
            <w:r w:rsidRPr="00942DA8">
              <w:rPr>
                <w:rFonts w:ascii="Times New Roman" w:hAnsi="Times New Roman" w:cs="Times New Roman"/>
                <w:snapToGrid w:val="0"/>
                <w:sz w:val="18"/>
                <w:szCs w:val="18"/>
              </w:rPr>
              <w:t xml:space="preserve"> Büyük beyaz eşyalar (Buzdolabı/ soğutucular/iklimlendirme cihazları hariç) </w:t>
            </w:r>
          </w:p>
        </w:tc>
        <w:tc>
          <w:tcPr>
            <w:tcW w:w="1281" w:type="dxa"/>
            <w:tcBorders>
              <w:left w:val="single" w:sz="4" w:space="0" w:color="auto"/>
              <w:right w:val="single" w:sz="4" w:space="0" w:color="auto"/>
            </w:tcBorders>
            <w:hideMark/>
          </w:tcPr>
          <w:p w:rsidR="00281C6E" w:rsidRPr="00942DA8" w:rsidRDefault="00281C6E" w:rsidP="002219BE">
            <w:pPr>
              <w:spacing w:line="20" w:lineRule="atLeast"/>
              <w:jc w:val="center"/>
              <w:rPr>
                <w:rFonts w:ascii="Times New Roman" w:hAnsi="Times New Roman" w:cs="Times New Roman"/>
                <w:sz w:val="18"/>
                <w:szCs w:val="18"/>
                <w:lang w:val="it-IT"/>
              </w:rPr>
            </w:pPr>
            <w:r w:rsidRPr="00942DA8">
              <w:rPr>
                <w:rFonts w:ascii="Times New Roman" w:hAnsi="Times New Roman" w:cs="Times New Roman"/>
                <w:sz w:val="18"/>
                <w:szCs w:val="18"/>
                <w:lang w:val="it-IT"/>
              </w:rPr>
              <w:t xml:space="preserve">0,1 / </w:t>
            </w:r>
            <w:r w:rsidRPr="00942DA8">
              <w:rPr>
                <w:rFonts w:ascii="Times New Roman" w:hAnsi="Times New Roman" w:cs="Times New Roman"/>
                <w:sz w:val="18"/>
                <w:szCs w:val="18"/>
              </w:rPr>
              <w:t>2,5</w:t>
            </w:r>
          </w:p>
        </w:tc>
        <w:tc>
          <w:tcPr>
            <w:tcW w:w="1417" w:type="dxa"/>
            <w:tcBorders>
              <w:left w:val="single" w:sz="4" w:space="0" w:color="auto"/>
              <w:right w:val="single" w:sz="4" w:space="0" w:color="auto"/>
            </w:tcBorders>
          </w:tcPr>
          <w:p w:rsidR="00281C6E" w:rsidRPr="00942DA8" w:rsidRDefault="00281C6E" w:rsidP="002219BE">
            <w:pPr>
              <w:spacing w:line="20" w:lineRule="atLeast"/>
              <w:jc w:val="center"/>
              <w:rPr>
                <w:rFonts w:ascii="Times New Roman" w:hAnsi="Times New Roman" w:cs="Times New Roman"/>
                <w:sz w:val="18"/>
                <w:szCs w:val="18"/>
                <w:lang w:val="it-IT"/>
              </w:rPr>
            </w:pPr>
            <w:r w:rsidRPr="00942DA8">
              <w:rPr>
                <w:rFonts w:ascii="Times New Roman" w:hAnsi="Times New Roman" w:cs="Times New Roman"/>
                <w:sz w:val="18"/>
                <w:szCs w:val="18"/>
                <w:lang w:val="it-IT"/>
              </w:rPr>
              <w:t xml:space="preserve">0,15 / </w:t>
            </w:r>
            <w:r w:rsidRPr="00942DA8">
              <w:rPr>
                <w:rFonts w:ascii="Times New Roman" w:hAnsi="Times New Roman" w:cs="Times New Roman"/>
                <w:sz w:val="18"/>
                <w:szCs w:val="18"/>
              </w:rPr>
              <w:t>3,75</w:t>
            </w:r>
          </w:p>
        </w:tc>
        <w:tc>
          <w:tcPr>
            <w:tcW w:w="1473" w:type="dxa"/>
            <w:tcBorders>
              <w:left w:val="single" w:sz="4" w:space="0" w:color="auto"/>
              <w:right w:val="single" w:sz="4" w:space="0" w:color="auto"/>
            </w:tcBorders>
          </w:tcPr>
          <w:p w:rsidR="00281C6E" w:rsidRPr="00942DA8" w:rsidRDefault="00281C6E" w:rsidP="002219BE">
            <w:pPr>
              <w:spacing w:line="20" w:lineRule="atLeast"/>
              <w:jc w:val="center"/>
              <w:rPr>
                <w:rFonts w:ascii="Times New Roman" w:hAnsi="Times New Roman" w:cs="Times New Roman"/>
                <w:sz w:val="18"/>
                <w:szCs w:val="18"/>
                <w:lang w:val="it-IT"/>
              </w:rPr>
            </w:pPr>
            <w:r w:rsidRPr="00942DA8">
              <w:rPr>
                <w:rFonts w:ascii="Times New Roman" w:hAnsi="Times New Roman" w:cs="Times New Roman"/>
                <w:sz w:val="18"/>
                <w:szCs w:val="18"/>
                <w:lang w:val="it-IT"/>
              </w:rPr>
              <w:t xml:space="preserve">0,32 / </w:t>
            </w:r>
            <w:r w:rsidRPr="00942DA8">
              <w:rPr>
                <w:rFonts w:ascii="Times New Roman" w:hAnsi="Times New Roman" w:cs="Times New Roman"/>
                <w:sz w:val="18"/>
                <w:szCs w:val="18"/>
              </w:rPr>
              <w:t>8</w:t>
            </w:r>
          </w:p>
        </w:tc>
      </w:tr>
      <w:tr w:rsidR="00942DA8" w:rsidRPr="00942DA8"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942DA8" w:rsidRDefault="00281C6E" w:rsidP="002219BE">
            <w:pPr>
              <w:spacing w:line="20" w:lineRule="atLeast"/>
              <w:rPr>
                <w:rFonts w:ascii="Times New Roman" w:hAnsi="Times New Roman" w:cs="Times New Roman"/>
                <w:sz w:val="18"/>
                <w:szCs w:val="18"/>
              </w:rPr>
            </w:pPr>
            <w:r w:rsidRPr="00942DA8">
              <w:rPr>
                <w:rFonts w:ascii="Times New Roman" w:hAnsi="Times New Roman" w:cs="Times New Roman"/>
                <w:sz w:val="18"/>
                <w:szCs w:val="18"/>
                <w:lang w:val="it-IT"/>
              </w:rPr>
              <w:t xml:space="preserve">3. </w:t>
            </w:r>
            <w:r w:rsidRPr="00942DA8">
              <w:rPr>
                <w:rFonts w:ascii="Times New Roman" w:hAnsi="Times New Roman" w:cs="Times New Roman"/>
                <w:snapToGrid w:val="0"/>
                <w:sz w:val="18"/>
                <w:szCs w:val="18"/>
              </w:rPr>
              <w:t>Televizyon ve monitörler</w:t>
            </w:r>
          </w:p>
        </w:tc>
        <w:tc>
          <w:tcPr>
            <w:tcW w:w="1281" w:type="dxa"/>
            <w:tcBorders>
              <w:left w:val="single" w:sz="4" w:space="0" w:color="auto"/>
              <w:right w:val="single" w:sz="4" w:space="0" w:color="auto"/>
            </w:tcBorders>
            <w:hideMark/>
          </w:tcPr>
          <w:p w:rsidR="00281C6E" w:rsidRPr="00942DA8" w:rsidRDefault="00281C6E" w:rsidP="002219BE">
            <w:pPr>
              <w:spacing w:line="20" w:lineRule="atLeast"/>
              <w:jc w:val="center"/>
              <w:rPr>
                <w:rFonts w:ascii="Times New Roman" w:hAnsi="Times New Roman" w:cs="Times New Roman"/>
                <w:sz w:val="18"/>
                <w:szCs w:val="18"/>
              </w:rPr>
            </w:pPr>
            <w:r w:rsidRPr="00942DA8">
              <w:rPr>
                <w:rFonts w:ascii="Times New Roman" w:hAnsi="Times New Roman" w:cs="Times New Roman"/>
                <w:sz w:val="18"/>
                <w:szCs w:val="18"/>
              </w:rPr>
              <w:t>0,06 / 1,5</w:t>
            </w:r>
          </w:p>
        </w:tc>
        <w:tc>
          <w:tcPr>
            <w:tcW w:w="1417" w:type="dxa"/>
            <w:tcBorders>
              <w:left w:val="single" w:sz="4" w:space="0" w:color="auto"/>
              <w:right w:val="single" w:sz="4" w:space="0" w:color="auto"/>
            </w:tcBorders>
          </w:tcPr>
          <w:p w:rsidR="00281C6E" w:rsidRPr="00942DA8" w:rsidRDefault="00281C6E" w:rsidP="002219BE">
            <w:pPr>
              <w:spacing w:line="20" w:lineRule="atLeast"/>
              <w:jc w:val="center"/>
              <w:rPr>
                <w:rFonts w:ascii="Times New Roman" w:hAnsi="Times New Roman" w:cs="Times New Roman"/>
                <w:sz w:val="18"/>
                <w:szCs w:val="18"/>
              </w:rPr>
            </w:pPr>
            <w:r w:rsidRPr="00942DA8">
              <w:rPr>
                <w:rFonts w:ascii="Times New Roman" w:hAnsi="Times New Roman" w:cs="Times New Roman"/>
                <w:sz w:val="18"/>
                <w:szCs w:val="18"/>
              </w:rPr>
              <w:t>0,10 / 2,5</w:t>
            </w:r>
          </w:p>
        </w:tc>
        <w:tc>
          <w:tcPr>
            <w:tcW w:w="1473" w:type="dxa"/>
            <w:tcBorders>
              <w:left w:val="single" w:sz="4" w:space="0" w:color="auto"/>
              <w:right w:val="single" w:sz="4" w:space="0" w:color="auto"/>
            </w:tcBorders>
          </w:tcPr>
          <w:p w:rsidR="00281C6E" w:rsidRPr="00942DA8" w:rsidRDefault="00281C6E" w:rsidP="002219BE">
            <w:pPr>
              <w:spacing w:line="20" w:lineRule="atLeast"/>
              <w:jc w:val="center"/>
              <w:rPr>
                <w:rFonts w:ascii="Times New Roman" w:hAnsi="Times New Roman" w:cs="Times New Roman"/>
                <w:sz w:val="18"/>
                <w:szCs w:val="18"/>
              </w:rPr>
            </w:pPr>
            <w:r w:rsidRPr="00942DA8">
              <w:rPr>
                <w:rFonts w:ascii="Times New Roman" w:hAnsi="Times New Roman" w:cs="Times New Roman"/>
                <w:sz w:val="18"/>
                <w:szCs w:val="18"/>
              </w:rPr>
              <w:t>0,22 / 5,5</w:t>
            </w:r>
          </w:p>
        </w:tc>
      </w:tr>
      <w:tr w:rsidR="00942DA8" w:rsidRPr="00942DA8"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942DA8" w:rsidRDefault="00281C6E" w:rsidP="002219BE">
            <w:pPr>
              <w:spacing w:line="20" w:lineRule="atLeast"/>
              <w:rPr>
                <w:rFonts w:ascii="Times New Roman" w:hAnsi="Times New Roman" w:cs="Times New Roman"/>
                <w:sz w:val="18"/>
                <w:szCs w:val="18"/>
              </w:rPr>
            </w:pPr>
            <w:r w:rsidRPr="00942DA8">
              <w:rPr>
                <w:rFonts w:ascii="Times New Roman" w:hAnsi="Times New Roman" w:cs="Times New Roman"/>
                <w:sz w:val="18"/>
                <w:szCs w:val="18"/>
              </w:rPr>
              <w:t xml:space="preserve">4. </w:t>
            </w:r>
            <w:r w:rsidRPr="00942DA8">
              <w:rPr>
                <w:rFonts w:ascii="Times New Roman" w:hAnsi="Times New Roman" w:cs="Times New Roman"/>
                <w:snapToGrid w:val="0"/>
                <w:sz w:val="18"/>
                <w:szCs w:val="18"/>
              </w:rPr>
              <w:t xml:space="preserve">Bilişim ve telekomünikasyon ve tüketici </w:t>
            </w:r>
            <w:proofErr w:type="gramStart"/>
            <w:r w:rsidRPr="00942DA8">
              <w:rPr>
                <w:rFonts w:ascii="Times New Roman" w:hAnsi="Times New Roman" w:cs="Times New Roman"/>
                <w:snapToGrid w:val="0"/>
                <w:sz w:val="18"/>
                <w:szCs w:val="18"/>
              </w:rPr>
              <w:t>ekipmanları</w:t>
            </w:r>
            <w:proofErr w:type="gramEnd"/>
            <w:r w:rsidRPr="00942DA8">
              <w:rPr>
                <w:rFonts w:ascii="Times New Roman" w:hAnsi="Times New Roman" w:cs="Times New Roman"/>
                <w:snapToGrid w:val="0"/>
                <w:sz w:val="18"/>
                <w:szCs w:val="18"/>
              </w:rPr>
              <w:t xml:space="preserve"> (Televizyon ve monitörler hariç)</w:t>
            </w:r>
          </w:p>
        </w:tc>
        <w:tc>
          <w:tcPr>
            <w:tcW w:w="1281" w:type="dxa"/>
            <w:tcBorders>
              <w:left w:val="single" w:sz="4" w:space="0" w:color="auto"/>
              <w:right w:val="single" w:sz="4" w:space="0" w:color="auto"/>
            </w:tcBorders>
            <w:hideMark/>
          </w:tcPr>
          <w:p w:rsidR="00281C6E" w:rsidRPr="00942DA8" w:rsidRDefault="00281C6E" w:rsidP="002219BE">
            <w:pPr>
              <w:spacing w:line="20" w:lineRule="atLeast"/>
              <w:jc w:val="center"/>
              <w:rPr>
                <w:rFonts w:ascii="Times New Roman" w:hAnsi="Times New Roman" w:cs="Times New Roman"/>
                <w:sz w:val="18"/>
                <w:szCs w:val="18"/>
              </w:rPr>
            </w:pPr>
            <w:r w:rsidRPr="00942DA8">
              <w:rPr>
                <w:rFonts w:ascii="Times New Roman" w:hAnsi="Times New Roman" w:cs="Times New Roman"/>
                <w:sz w:val="18"/>
                <w:szCs w:val="18"/>
              </w:rPr>
              <w:t>0,05 / 1,25</w:t>
            </w:r>
          </w:p>
        </w:tc>
        <w:tc>
          <w:tcPr>
            <w:tcW w:w="1417" w:type="dxa"/>
            <w:tcBorders>
              <w:left w:val="single" w:sz="4" w:space="0" w:color="auto"/>
              <w:right w:val="single" w:sz="4" w:space="0" w:color="auto"/>
            </w:tcBorders>
          </w:tcPr>
          <w:p w:rsidR="00281C6E" w:rsidRPr="00942DA8" w:rsidRDefault="00281C6E" w:rsidP="002219BE">
            <w:pPr>
              <w:spacing w:line="20" w:lineRule="atLeast"/>
              <w:jc w:val="center"/>
              <w:rPr>
                <w:rFonts w:ascii="Times New Roman" w:hAnsi="Times New Roman" w:cs="Times New Roman"/>
                <w:sz w:val="18"/>
                <w:szCs w:val="18"/>
              </w:rPr>
            </w:pPr>
            <w:r w:rsidRPr="00942DA8">
              <w:rPr>
                <w:rFonts w:ascii="Times New Roman" w:hAnsi="Times New Roman" w:cs="Times New Roman"/>
                <w:sz w:val="18"/>
                <w:szCs w:val="18"/>
              </w:rPr>
              <w:t>0,08 / 2</w:t>
            </w:r>
          </w:p>
        </w:tc>
        <w:tc>
          <w:tcPr>
            <w:tcW w:w="1473" w:type="dxa"/>
            <w:tcBorders>
              <w:left w:val="single" w:sz="4" w:space="0" w:color="auto"/>
              <w:right w:val="single" w:sz="4" w:space="0" w:color="auto"/>
            </w:tcBorders>
          </w:tcPr>
          <w:p w:rsidR="00281C6E" w:rsidRPr="00942DA8" w:rsidRDefault="00281C6E" w:rsidP="002219BE">
            <w:pPr>
              <w:spacing w:line="20" w:lineRule="atLeast"/>
              <w:jc w:val="center"/>
              <w:rPr>
                <w:rFonts w:ascii="Times New Roman" w:hAnsi="Times New Roman" w:cs="Times New Roman"/>
                <w:sz w:val="18"/>
                <w:szCs w:val="18"/>
              </w:rPr>
            </w:pPr>
            <w:r w:rsidRPr="00942DA8">
              <w:rPr>
                <w:rFonts w:ascii="Times New Roman" w:hAnsi="Times New Roman" w:cs="Times New Roman"/>
                <w:sz w:val="18"/>
                <w:szCs w:val="18"/>
              </w:rPr>
              <w:t>0,16 / 4</w:t>
            </w:r>
          </w:p>
        </w:tc>
      </w:tr>
      <w:tr w:rsidR="00942DA8" w:rsidRPr="00942DA8"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942DA8" w:rsidRDefault="00281C6E" w:rsidP="002219BE">
            <w:pPr>
              <w:spacing w:line="20" w:lineRule="atLeast"/>
              <w:rPr>
                <w:rFonts w:ascii="Times New Roman" w:hAnsi="Times New Roman" w:cs="Times New Roman"/>
                <w:sz w:val="18"/>
                <w:szCs w:val="18"/>
              </w:rPr>
            </w:pPr>
            <w:r w:rsidRPr="00942DA8">
              <w:rPr>
                <w:rFonts w:ascii="Times New Roman" w:hAnsi="Times New Roman" w:cs="Times New Roman"/>
                <w:sz w:val="18"/>
                <w:szCs w:val="18"/>
              </w:rPr>
              <w:t xml:space="preserve">5. Aydınlatma </w:t>
            </w:r>
            <w:proofErr w:type="gramStart"/>
            <w:r w:rsidRPr="00942DA8">
              <w:rPr>
                <w:rFonts w:ascii="Times New Roman" w:hAnsi="Times New Roman" w:cs="Times New Roman"/>
                <w:sz w:val="18"/>
                <w:szCs w:val="18"/>
              </w:rPr>
              <w:t>ekipmanları</w:t>
            </w:r>
            <w:proofErr w:type="gramEnd"/>
          </w:p>
        </w:tc>
        <w:tc>
          <w:tcPr>
            <w:tcW w:w="1281" w:type="dxa"/>
            <w:tcBorders>
              <w:left w:val="single" w:sz="4" w:space="0" w:color="auto"/>
              <w:right w:val="single" w:sz="4" w:space="0" w:color="auto"/>
            </w:tcBorders>
            <w:hideMark/>
          </w:tcPr>
          <w:p w:rsidR="00281C6E" w:rsidRPr="00942DA8" w:rsidRDefault="00281C6E" w:rsidP="002219BE">
            <w:pPr>
              <w:spacing w:line="20" w:lineRule="atLeast"/>
              <w:jc w:val="center"/>
              <w:rPr>
                <w:rFonts w:ascii="Times New Roman" w:hAnsi="Times New Roman" w:cs="Times New Roman"/>
                <w:sz w:val="18"/>
                <w:szCs w:val="18"/>
              </w:rPr>
            </w:pPr>
            <w:r w:rsidRPr="00942DA8">
              <w:rPr>
                <w:rFonts w:ascii="Times New Roman" w:hAnsi="Times New Roman" w:cs="Times New Roman"/>
                <w:sz w:val="18"/>
                <w:szCs w:val="18"/>
              </w:rPr>
              <w:t>0,01 / 0,25</w:t>
            </w:r>
          </w:p>
        </w:tc>
        <w:tc>
          <w:tcPr>
            <w:tcW w:w="1417" w:type="dxa"/>
            <w:tcBorders>
              <w:left w:val="single" w:sz="4" w:space="0" w:color="auto"/>
              <w:right w:val="single" w:sz="4" w:space="0" w:color="auto"/>
            </w:tcBorders>
          </w:tcPr>
          <w:p w:rsidR="00281C6E" w:rsidRPr="00942DA8" w:rsidRDefault="00281C6E" w:rsidP="002219BE">
            <w:pPr>
              <w:spacing w:line="20" w:lineRule="atLeast"/>
              <w:jc w:val="center"/>
              <w:rPr>
                <w:rFonts w:ascii="Times New Roman" w:hAnsi="Times New Roman" w:cs="Times New Roman"/>
                <w:sz w:val="18"/>
                <w:szCs w:val="18"/>
              </w:rPr>
            </w:pPr>
            <w:r w:rsidRPr="00942DA8">
              <w:rPr>
                <w:rFonts w:ascii="Times New Roman" w:hAnsi="Times New Roman" w:cs="Times New Roman"/>
                <w:sz w:val="18"/>
                <w:szCs w:val="18"/>
              </w:rPr>
              <w:t>0,02 / 0,5</w:t>
            </w:r>
          </w:p>
        </w:tc>
        <w:tc>
          <w:tcPr>
            <w:tcW w:w="1473" w:type="dxa"/>
            <w:tcBorders>
              <w:left w:val="single" w:sz="4" w:space="0" w:color="auto"/>
              <w:right w:val="single" w:sz="4" w:space="0" w:color="auto"/>
            </w:tcBorders>
          </w:tcPr>
          <w:p w:rsidR="00281C6E" w:rsidRPr="00942DA8" w:rsidRDefault="00281C6E" w:rsidP="002219BE">
            <w:pPr>
              <w:spacing w:line="20" w:lineRule="atLeast"/>
              <w:jc w:val="center"/>
              <w:rPr>
                <w:rFonts w:ascii="Times New Roman" w:hAnsi="Times New Roman" w:cs="Times New Roman"/>
                <w:sz w:val="18"/>
                <w:szCs w:val="18"/>
              </w:rPr>
            </w:pPr>
            <w:r w:rsidRPr="00942DA8">
              <w:rPr>
                <w:rFonts w:ascii="Times New Roman" w:hAnsi="Times New Roman" w:cs="Times New Roman"/>
                <w:sz w:val="18"/>
                <w:szCs w:val="18"/>
              </w:rPr>
              <w:t>0,02 / 0,5</w:t>
            </w:r>
          </w:p>
        </w:tc>
      </w:tr>
      <w:tr w:rsidR="00942DA8" w:rsidRPr="00942DA8"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942DA8" w:rsidRDefault="00281C6E" w:rsidP="002219BE">
            <w:pPr>
              <w:spacing w:line="20" w:lineRule="atLeast"/>
              <w:rPr>
                <w:rFonts w:ascii="Times New Roman" w:hAnsi="Times New Roman" w:cs="Times New Roman"/>
                <w:sz w:val="18"/>
                <w:szCs w:val="18"/>
              </w:rPr>
            </w:pPr>
            <w:r w:rsidRPr="00942DA8">
              <w:rPr>
                <w:rFonts w:ascii="Times New Roman" w:hAnsi="Times New Roman" w:cs="Times New Roman"/>
                <w:sz w:val="18"/>
                <w:szCs w:val="18"/>
              </w:rPr>
              <w:lastRenderedPageBreak/>
              <w:t xml:space="preserve">6. </w:t>
            </w:r>
            <w:r w:rsidRPr="00942DA8">
              <w:rPr>
                <w:rFonts w:ascii="Times New Roman" w:hAnsi="Times New Roman" w:cs="Times New Roman"/>
                <w:snapToGrid w:val="0"/>
                <w:sz w:val="18"/>
                <w:szCs w:val="18"/>
              </w:rPr>
              <w:t xml:space="preserve">Küçük ev aletleri, elektrikli ve elektronik aletler, oyuncaklar, spor ve eğlence </w:t>
            </w:r>
            <w:proofErr w:type="gramStart"/>
            <w:r w:rsidRPr="00942DA8">
              <w:rPr>
                <w:rFonts w:ascii="Times New Roman" w:hAnsi="Times New Roman" w:cs="Times New Roman"/>
                <w:snapToGrid w:val="0"/>
                <w:sz w:val="18"/>
                <w:szCs w:val="18"/>
              </w:rPr>
              <w:t>ekipmanları</w:t>
            </w:r>
            <w:proofErr w:type="gramEnd"/>
            <w:r w:rsidRPr="00942DA8">
              <w:rPr>
                <w:rFonts w:ascii="Times New Roman" w:hAnsi="Times New Roman" w:cs="Times New Roman"/>
                <w:snapToGrid w:val="0"/>
                <w:sz w:val="18"/>
                <w:szCs w:val="18"/>
              </w:rPr>
              <w:t>, izleme ve kontrol aletleri</w:t>
            </w:r>
          </w:p>
        </w:tc>
        <w:tc>
          <w:tcPr>
            <w:tcW w:w="1281" w:type="dxa"/>
            <w:tcBorders>
              <w:left w:val="single" w:sz="4" w:space="0" w:color="auto"/>
              <w:right w:val="single" w:sz="4" w:space="0" w:color="auto"/>
            </w:tcBorders>
            <w:hideMark/>
          </w:tcPr>
          <w:p w:rsidR="00281C6E" w:rsidRPr="00942DA8" w:rsidRDefault="00281C6E" w:rsidP="002219BE">
            <w:pPr>
              <w:jc w:val="center"/>
              <w:rPr>
                <w:rFonts w:ascii="Times New Roman" w:hAnsi="Times New Roman" w:cs="Times New Roman"/>
                <w:sz w:val="18"/>
                <w:szCs w:val="18"/>
              </w:rPr>
            </w:pPr>
            <w:r w:rsidRPr="00942DA8">
              <w:rPr>
                <w:rFonts w:ascii="Times New Roman" w:hAnsi="Times New Roman" w:cs="Times New Roman"/>
                <w:sz w:val="18"/>
                <w:szCs w:val="18"/>
              </w:rPr>
              <w:t>0,03 / 0,75</w:t>
            </w:r>
          </w:p>
          <w:p w:rsidR="00281C6E" w:rsidRPr="00942DA8" w:rsidRDefault="00281C6E" w:rsidP="002219BE">
            <w:pPr>
              <w:spacing w:line="20" w:lineRule="atLeast"/>
              <w:jc w:val="center"/>
              <w:rPr>
                <w:rFonts w:ascii="Times New Roman" w:hAnsi="Times New Roman" w:cs="Times New Roman"/>
                <w:sz w:val="18"/>
                <w:szCs w:val="18"/>
              </w:rPr>
            </w:pPr>
          </w:p>
        </w:tc>
        <w:tc>
          <w:tcPr>
            <w:tcW w:w="1417" w:type="dxa"/>
            <w:tcBorders>
              <w:left w:val="single" w:sz="4" w:space="0" w:color="auto"/>
              <w:right w:val="single" w:sz="4" w:space="0" w:color="auto"/>
            </w:tcBorders>
          </w:tcPr>
          <w:p w:rsidR="00281C6E" w:rsidRPr="00942DA8" w:rsidRDefault="00281C6E" w:rsidP="002219BE">
            <w:pPr>
              <w:spacing w:line="20" w:lineRule="atLeast"/>
              <w:jc w:val="center"/>
              <w:rPr>
                <w:rFonts w:ascii="Times New Roman" w:hAnsi="Times New Roman" w:cs="Times New Roman"/>
                <w:sz w:val="18"/>
                <w:szCs w:val="18"/>
              </w:rPr>
            </w:pPr>
            <w:r w:rsidRPr="00942DA8">
              <w:rPr>
                <w:rFonts w:ascii="Times New Roman" w:hAnsi="Times New Roman" w:cs="Times New Roman"/>
                <w:sz w:val="18"/>
                <w:szCs w:val="18"/>
              </w:rPr>
              <w:t>0,06 / 1,5</w:t>
            </w:r>
          </w:p>
        </w:tc>
        <w:tc>
          <w:tcPr>
            <w:tcW w:w="1473" w:type="dxa"/>
            <w:tcBorders>
              <w:left w:val="single" w:sz="4" w:space="0" w:color="auto"/>
              <w:right w:val="single" w:sz="4" w:space="0" w:color="auto"/>
            </w:tcBorders>
          </w:tcPr>
          <w:p w:rsidR="00281C6E" w:rsidRPr="00942DA8" w:rsidRDefault="00281C6E" w:rsidP="002219BE">
            <w:pPr>
              <w:jc w:val="center"/>
              <w:rPr>
                <w:rFonts w:ascii="Times New Roman" w:hAnsi="Times New Roman" w:cs="Times New Roman"/>
                <w:sz w:val="18"/>
                <w:szCs w:val="18"/>
              </w:rPr>
            </w:pPr>
            <w:r w:rsidRPr="00942DA8">
              <w:rPr>
                <w:rFonts w:ascii="Times New Roman" w:hAnsi="Times New Roman" w:cs="Times New Roman"/>
                <w:sz w:val="18"/>
                <w:szCs w:val="18"/>
              </w:rPr>
              <w:t>0,11 / 2,75</w:t>
            </w:r>
          </w:p>
          <w:p w:rsidR="00281C6E" w:rsidRPr="00942DA8" w:rsidRDefault="00281C6E" w:rsidP="002219BE">
            <w:pPr>
              <w:spacing w:line="20" w:lineRule="atLeast"/>
              <w:jc w:val="center"/>
              <w:rPr>
                <w:rFonts w:ascii="Times New Roman" w:hAnsi="Times New Roman" w:cs="Times New Roman"/>
                <w:sz w:val="18"/>
                <w:szCs w:val="18"/>
              </w:rPr>
            </w:pPr>
          </w:p>
        </w:tc>
      </w:tr>
      <w:tr w:rsidR="00942DA8" w:rsidRPr="00942DA8"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942DA8" w:rsidRDefault="00281C6E" w:rsidP="002219BE">
            <w:pPr>
              <w:spacing w:line="20" w:lineRule="atLeast"/>
              <w:jc w:val="center"/>
              <w:rPr>
                <w:rFonts w:ascii="Times New Roman" w:hAnsi="Times New Roman" w:cs="Times New Roman"/>
                <w:b/>
                <w:sz w:val="18"/>
                <w:szCs w:val="18"/>
              </w:rPr>
            </w:pPr>
            <w:r w:rsidRPr="00942DA8">
              <w:rPr>
                <w:rFonts w:ascii="Times New Roman" w:hAnsi="Times New Roman" w:cs="Times New Roman"/>
                <w:b/>
                <w:sz w:val="18"/>
                <w:szCs w:val="18"/>
              </w:rPr>
              <w:t>TOPLAM EVSEL AEEE (kg/kişi-yıl)</w:t>
            </w:r>
          </w:p>
        </w:tc>
        <w:tc>
          <w:tcPr>
            <w:tcW w:w="1281" w:type="dxa"/>
            <w:tcBorders>
              <w:left w:val="single" w:sz="4" w:space="0" w:color="auto"/>
              <w:bottom w:val="single" w:sz="4" w:space="0" w:color="auto"/>
              <w:right w:val="single" w:sz="4" w:space="0" w:color="auto"/>
            </w:tcBorders>
            <w:hideMark/>
          </w:tcPr>
          <w:p w:rsidR="00281C6E" w:rsidRPr="00942DA8" w:rsidRDefault="00281C6E" w:rsidP="002219BE">
            <w:pPr>
              <w:spacing w:line="20" w:lineRule="atLeast"/>
              <w:jc w:val="center"/>
              <w:rPr>
                <w:rFonts w:ascii="Times New Roman" w:hAnsi="Times New Roman" w:cs="Times New Roman"/>
                <w:b/>
                <w:sz w:val="18"/>
                <w:szCs w:val="18"/>
              </w:rPr>
            </w:pPr>
            <w:r w:rsidRPr="00942DA8">
              <w:rPr>
                <w:rFonts w:ascii="Times New Roman" w:hAnsi="Times New Roman" w:cs="Times New Roman"/>
                <w:b/>
                <w:snapToGrid w:val="0"/>
                <w:sz w:val="18"/>
                <w:szCs w:val="18"/>
                <w:lang w:val="it-IT"/>
              </w:rPr>
              <w:t>0,3</w:t>
            </w:r>
          </w:p>
        </w:tc>
        <w:tc>
          <w:tcPr>
            <w:tcW w:w="1417" w:type="dxa"/>
            <w:tcBorders>
              <w:left w:val="single" w:sz="4" w:space="0" w:color="auto"/>
              <w:bottom w:val="single" w:sz="4" w:space="0" w:color="auto"/>
              <w:right w:val="single" w:sz="4" w:space="0" w:color="auto"/>
            </w:tcBorders>
          </w:tcPr>
          <w:p w:rsidR="00281C6E" w:rsidRPr="00942DA8" w:rsidRDefault="00281C6E" w:rsidP="002219BE">
            <w:pPr>
              <w:spacing w:line="20" w:lineRule="atLeast"/>
              <w:jc w:val="center"/>
              <w:rPr>
                <w:rFonts w:ascii="Times New Roman" w:hAnsi="Times New Roman" w:cs="Times New Roman"/>
                <w:b/>
                <w:sz w:val="18"/>
                <w:szCs w:val="18"/>
              </w:rPr>
            </w:pPr>
            <w:r w:rsidRPr="00942DA8">
              <w:rPr>
                <w:rFonts w:ascii="Times New Roman" w:hAnsi="Times New Roman" w:cs="Times New Roman"/>
                <w:b/>
                <w:snapToGrid w:val="0"/>
                <w:sz w:val="18"/>
                <w:szCs w:val="18"/>
                <w:lang w:val="it-IT"/>
              </w:rPr>
              <w:t>0,5</w:t>
            </w:r>
          </w:p>
        </w:tc>
        <w:tc>
          <w:tcPr>
            <w:tcW w:w="1473" w:type="dxa"/>
            <w:tcBorders>
              <w:left w:val="single" w:sz="4" w:space="0" w:color="auto"/>
              <w:bottom w:val="single" w:sz="4" w:space="0" w:color="auto"/>
              <w:right w:val="single" w:sz="4" w:space="0" w:color="auto"/>
            </w:tcBorders>
          </w:tcPr>
          <w:p w:rsidR="00281C6E" w:rsidRPr="00942DA8" w:rsidRDefault="00281C6E" w:rsidP="002219BE">
            <w:pPr>
              <w:spacing w:line="20" w:lineRule="atLeast"/>
              <w:jc w:val="center"/>
              <w:rPr>
                <w:rFonts w:ascii="Times New Roman" w:hAnsi="Times New Roman" w:cs="Times New Roman"/>
                <w:b/>
                <w:sz w:val="18"/>
                <w:szCs w:val="18"/>
              </w:rPr>
            </w:pPr>
            <w:r w:rsidRPr="00942DA8">
              <w:rPr>
                <w:rFonts w:ascii="Times New Roman" w:hAnsi="Times New Roman" w:cs="Times New Roman"/>
                <w:b/>
                <w:sz w:val="18"/>
                <w:szCs w:val="18"/>
              </w:rPr>
              <w:t>1</w:t>
            </w:r>
          </w:p>
        </w:tc>
      </w:tr>
    </w:tbl>
    <w:p w:rsidR="00281C6E" w:rsidRPr="00892A83" w:rsidRDefault="00281C6E" w:rsidP="002300A7">
      <w:pPr>
        <w:jc w:val="both"/>
        <w:rPr>
          <w:rFonts w:ascii="Times New Roman" w:hAnsi="Times New Roman" w:cs="Times New Roman"/>
          <w:sz w:val="24"/>
          <w:szCs w:val="24"/>
        </w:rPr>
      </w:pPr>
    </w:p>
    <w:p w:rsidR="00281C6E" w:rsidRPr="00892A83" w:rsidRDefault="00281C6E" w:rsidP="002300A7">
      <w:pPr>
        <w:jc w:val="both"/>
        <w:rPr>
          <w:rFonts w:ascii="Times New Roman" w:hAnsi="Times New Roman" w:cs="Times New Roman"/>
          <w:sz w:val="24"/>
          <w:szCs w:val="24"/>
        </w:rPr>
      </w:pPr>
    </w:p>
    <w:p w:rsidR="00281C6E" w:rsidRPr="00892A83" w:rsidRDefault="00281C6E" w:rsidP="002300A7">
      <w:pPr>
        <w:jc w:val="both"/>
        <w:rPr>
          <w:rFonts w:ascii="Times New Roman" w:hAnsi="Times New Roman" w:cs="Times New Roman"/>
          <w:sz w:val="24"/>
          <w:szCs w:val="24"/>
        </w:rPr>
      </w:pPr>
    </w:p>
    <w:p w:rsidR="00281C6E" w:rsidRPr="00892A83" w:rsidRDefault="00281C6E" w:rsidP="002300A7">
      <w:pPr>
        <w:jc w:val="both"/>
        <w:rPr>
          <w:rFonts w:ascii="Times New Roman" w:hAnsi="Times New Roman" w:cs="Times New Roman"/>
          <w:sz w:val="24"/>
          <w:szCs w:val="24"/>
        </w:rPr>
      </w:pPr>
    </w:p>
    <w:p w:rsidR="002774F5" w:rsidRPr="00892A83" w:rsidRDefault="002774F5" w:rsidP="002774F5">
      <w:pPr>
        <w:jc w:val="both"/>
        <w:rPr>
          <w:rFonts w:ascii="Times New Roman" w:hAnsi="Times New Roman" w:cs="Times New Roman"/>
          <w:sz w:val="24"/>
          <w:szCs w:val="24"/>
        </w:rPr>
      </w:pPr>
      <w:r w:rsidRPr="00892A83">
        <w:rPr>
          <w:rFonts w:ascii="Times New Roman" w:hAnsi="Times New Roman" w:cs="Times New Roman"/>
          <w:sz w:val="24"/>
          <w:szCs w:val="24"/>
        </w:rPr>
        <w:t>(2) Üreticiler,</w:t>
      </w:r>
    </w:p>
    <w:p w:rsidR="002774F5" w:rsidRPr="00D80BD6" w:rsidRDefault="002774F5" w:rsidP="002774F5">
      <w:pPr>
        <w:jc w:val="both"/>
        <w:rPr>
          <w:rFonts w:ascii="Times New Roman" w:hAnsi="Times New Roman" w:cs="Times New Roman"/>
          <w:sz w:val="24"/>
          <w:szCs w:val="24"/>
        </w:rPr>
      </w:pPr>
      <w:r w:rsidRPr="00D80BD6">
        <w:rPr>
          <w:rFonts w:ascii="Times New Roman" w:hAnsi="Times New Roman" w:cs="Times New Roman"/>
          <w:sz w:val="24"/>
          <w:szCs w:val="24"/>
        </w:rPr>
        <w:t xml:space="preserve">a) </w:t>
      </w:r>
      <w:proofErr w:type="gramStart"/>
      <w:r w:rsidRPr="00D80BD6">
        <w:rPr>
          <w:rFonts w:ascii="Times New Roman" w:hAnsi="Times New Roman" w:cs="Times New Roman"/>
          <w:sz w:val="24"/>
          <w:szCs w:val="24"/>
        </w:rPr>
        <w:t>1/1/2016</w:t>
      </w:r>
      <w:proofErr w:type="gramEnd"/>
      <w:r w:rsidRPr="00D80BD6">
        <w:rPr>
          <w:rFonts w:ascii="Times New Roman" w:hAnsi="Times New Roman" w:cs="Times New Roman"/>
          <w:sz w:val="24"/>
          <w:szCs w:val="24"/>
        </w:rPr>
        <w:t xml:space="preserve"> tarihinden itibaren bir önceki yıl yurt içinde piyasaya sürülen toplam evsel EEE miktarı dikkate alınarak aşağıda tabloda verilen programda yer alan oranlara karşılık gelen AEEE miktarını toplamakla yükümlüdürler.</w:t>
      </w:r>
    </w:p>
    <w:p w:rsidR="002774F5" w:rsidRPr="00D80BD6" w:rsidRDefault="002774F5" w:rsidP="002774F5">
      <w:pPr>
        <w:jc w:val="both"/>
        <w:rPr>
          <w:rFonts w:ascii="Times New Roman" w:hAnsi="Times New Roman" w:cs="Times New Roman"/>
          <w:sz w:val="24"/>
          <w:szCs w:val="24"/>
        </w:rPr>
      </w:pPr>
      <w:r w:rsidRPr="00D80BD6">
        <w:rPr>
          <w:rFonts w:ascii="Times New Roman" w:hAnsi="Times New Roman" w:cs="Times New Roman"/>
          <w:sz w:val="24"/>
          <w:szCs w:val="24"/>
        </w:rPr>
        <w:t xml:space="preserve">b) 2016 Yılı itibariyle toplama hedeflerinin üzerinde toplama gerçekleştirirlerse, bu fazla miktar, bir sonraki yıl için uygulanacak toplama hedeflerinden düşülür. </w:t>
      </w:r>
    </w:p>
    <w:p w:rsidR="00225FE2" w:rsidRPr="00892A83" w:rsidRDefault="00225FE2" w:rsidP="00D4495D">
      <w:pPr>
        <w:jc w:val="both"/>
        <w:rPr>
          <w:rFonts w:ascii="Times New Roman" w:hAnsi="Times New Roman" w:cs="Times New Roman"/>
          <w:sz w:val="24"/>
          <w:szCs w:val="24"/>
        </w:rPr>
      </w:pPr>
    </w:p>
    <w:tbl>
      <w:tblPr>
        <w:tblStyle w:val="TabloKlavuzu"/>
        <w:tblW w:w="10421" w:type="dxa"/>
        <w:tblInd w:w="-176" w:type="dxa"/>
        <w:tblLook w:val="04A0" w:firstRow="1" w:lastRow="0" w:firstColumn="1" w:lastColumn="0" w:noHBand="0" w:noVBand="1"/>
      </w:tblPr>
      <w:tblGrid>
        <w:gridCol w:w="2956"/>
        <w:gridCol w:w="496"/>
        <w:gridCol w:w="496"/>
        <w:gridCol w:w="496"/>
        <w:gridCol w:w="496"/>
        <w:gridCol w:w="496"/>
        <w:gridCol w:w="496"/>
        <w:gridCol w:w="501"/>
        <w:gridCol w:w="501"/>
        <w:gridCol w:w="501"/>
        <w:gridCol w:w="501"/>
        <w:gridCol w:w="501"/>
        <w:gridCol w:w="496"/>
        <w:gridCol w:w="496"/>
        <w:gridCol w:w="496"/>
        <w:gridCol w:w="496"/>
      </w:tblGrid>
      <w:tr w:rsidR="00CC4A00" w:rsidRPr="00892A83" w:rsidTr="00CC4A00">
        <w:trPr>
          <w:trHeight w:val="276"/>
        </w:trPr>
        <w:tc>
          <w:tcPr>
            <w:tcW w:w="2956" w:type="dxa"/>
            <w:vMerge w:val="restart"/>
          </w:tcPr>
          <w:p w:rsidR="00CC4A00" w:rsidRPr="00892A83" w:rsidRDefault="00CC4A00" w:rsidP="008E22BB">
            <w:pPr>
              <w:jc w:val="center"/>
              <w:rPr>
                <w:rFonts w:ascii="Times New Roman" w:hAnsi="Times New Roman" w:cs="Times New Roman"/>
                <w:b/>
                <w:sz w:val="14"/>
                <w:szCs w:val="14"/>
              </w:rPr>
            </w:pPr>
          </w:p>
          <w:p w:rsidR="00CC4A00" w:rsidRPr="00892A83" w:rsidRDefault="00CC4A00" w:rsidP="008E22BB">
            <w:pPr>
              <w:jc w:val="center"/>
              <w:rPr>
                <w:rFonts w:ascii="Times New Roman" w:hAnsi="Times New Roman" w:cs="Times New Roman"/>
                <w:b/>
                <w:sz w:val="24"/>
                <w:szCs w:val="24"/>
              </w:rPr>
            </w:pPr>
            <w:r w:rsidRPr="00892A83">
              <w:rPr>
                <w:rFonts w:ascii="Times New Roman" w:hAnsi="Times New Roman" w:cs="Times New Roman"/>
                <w:b/>
                <w:sz w:val="24"/>
                <w:szCs w:val="24"/>
              </w:rPr>
              <w:t>EEE Kategorileri</w:t>
            </w:r>
          </w:p>
          <w:p w:rsidR="00CC4A00" w:rsidRPr="00892A83" w:rsidRDefault="00CC4A00" w:rsidP="008E22BB">
            <w:pPr>
              <w:jc w:val="center"/>
              <w:rPr>
                <w:rFonts w:ascii="Times New Roman" w:hAnsi="Times New Roman" w:cs="Times New Roman"/>
                <w:b/>
                <w:sz w:val="14"/>
                <w:szCs w:val="14"/>
              </w:rPr>
            </w:pPr>
          </w:p>
        </w:tc>
        <w:tc>
          <w:tcPr>
            <w:tcW w:w="7465" w:type="dxa"/>
            <w:gridSpan w:val="15"/>
          </w:tcPr>
          <w:p w:rsidR="00CC4A00" w:rsidRPr="00892A83" w:rsidRDefault="00CC4A00" w:rsidP="008E22BB">
            <w:pPr>
              <w:jc w:val="center"/>
              <w:rPr>
                <w:rFonts w:ascii="Times New Roman" w:hAnsi="Times New Roman" w:cs="Times New Roman"/>
                <w:b/>
                <w:sz w:val="24"/>
                <w:szCs w:val="24"/>
              </w:rPr>
            </w:pPr>
            <w:r w:rsidRPr="00892A83">
              <w:rPr>
                <w:rFonts w:ascii="Times New Roman" w:hAnsi="Times New Roman" w:cs="Times New Roman"/>
                <w:b/>
                <w:sz w:val="24"/>
                <w:szCs w:val="24"/>
              </w:rPr>
              <w:t>Yıllara Göre Toplama Hedefi (% yüzde)</w:t>
            </w:r>
          </w:p>
        </w:tc>
      </w:tr>
      <w:tr w:rsidR="00CC4A00" w:rsidRPr="00892A83" w:rsidTr="008E22BB">
        <w:trPr>
          <w:cantSplit/>
          <w:trHeight w:val="775"/>
        </w:trPr>
        <w:tc>
          <w:tcPr>
            <w:tcW w:w="2956" w:type="dxa"/>
            <w:vMerge/>
          </w:tcPr>
          <w:p w:rsidR="00CC4A00" w:rsidRPr="00892A83" w:rsidRDefault="00CC4A00" w:rsidP="002300A7">
            <w:pPr>
              <w:jc w:val="both"/>
              <w:rPr>
                <w:rFonts w:ascii="Times New Roman" w:hAnsi="Times New Roman" w:cs="Times New Roman"/>
                <w:b/>
                <w:sz w:val="14"/>
                <w:szCs w:val="14"/>
              </w:rPr>
            </w:pPr>
          </w:p>
        </w:tc>
        <w:tc>
          <w:tcPr>
            <w:tcW w:w="496"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2016</w:t>
            </w:r>
          </w:p>
        </w:tc>
        <w:tc>
          <w:tcPr>
            <w:tcW w:w="496"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2017</w:t>
            </w:r>
          </w:p>
        </w:tc>
        <w:tc>
          <w:tcPr>
            <w:tcW w:w="496"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2018</w:t>
            </w:r>
          </w:p>
        </w:tc>
        <w:tc>
          <w:tcPr>
            <w:tcW w:w="496"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2019</w:t>
            </w:r>
          </w:p>
        </w:tc>
        <w:tc>
          <w:tcPr>
            <w:tcW w:w="496"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2020</w:t>
            </w:r>
          </w:p>
        </w:tc>
        <w:tc>
          <w:tcPr>
            <w:tcW w:w="496"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2021</w:t>
            </w:r>
          </w:p>
        </w:tc>
        <w:tc>
          <w:tcPr>
            <w:tcW w:w="501"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2022</w:t>
            </w:r>
          </w:p>
        </w:tc>
        <w:tc>
          <w:tcPr>
            <w:tcW w:w="501"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2023</w:t>
            </w:r>
          </w:p>
        </w:tc>
        <w:tc>
          <w:tcPr>
            <w:tcW w:w="501"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2024</w:t>
            </w:r>
          </w:p>
        </w:tc>
        <w:tc>
          <w:tcPr>
            <w:tcW w:w="501"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2025</w:t>
            </w:r>
          </w:p>
        </w:tc>
        <w:tc>
          <w:tcPr>
            <w:tcW w:w="501"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2026</w:t>
            </w:r>
          </w:p>
        </w:tc>
        <w:tc>
          <w:tcPr>
            <w:tcW w:w="496"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2027</w:t>
            </w:r>
          </w:p>
        </w:tc>
        <w:tc>
          <w:tcPr>
            <w:tcW w:w="496"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2028</w:t>
            </w:r>
          </w:p>
        </w:tc>
        <w:tc>
          <w:tcPr>
            <w:tcW w:w="496"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2029</w:t>
            </w:r>
          </w:p>
        </w:tc>
        <w:tc>
          <w:tcPr>
            <w:tcW w:w="496" w:type="dxa"/>
            <w:textDirection w:val="btLr"/>
          </w:tcPr>
          <w:p w:rsidR="00CC4A00" w:rsidRPr="00892A83" w:rsidRDefault="00CC4A00" w:rsidP="008E22BB">
            <w:pPr>
              <w:ind w:left="113" w:right="113"/>
              <w:jc w:val="both"/>
              <w:rPr>
                <w:rFonts w:ascii="Times New Roman" w:hAnsi="Times New Roman" w:cs="Times New Roman"/>
                <w:b/>
                <w:sz w:val="20"/>
                <w:szCs w:val="20"/>
              </w:rPr>
            </w:pPr>
            <w:r w:rsidRPr="00892A83">
              <w:rPr>
                <w:rFonts w:ascii="Times New Roman" w:hAnsi="Times New Roman" w:cs="Times New Roman"/>
                <w:b/>
                <w:sz w:val="20"/>
                <w:szCs w:val="20"/>
              </w:rPr>
              <w:t>2030</w:t>
            </w:r>
          </w:p>
        </w:tc>
      </w:tr>
      <w:tr w:rsidR="00D4495D" w:rsidRPr="00892A83" w:rsidTr="00CC4A00">
        <w:trPr>
          <w:trHeight w:val="276"/>
        </w:trPr>
        <w:tc>
          <w:tcPr>
            <w:tcW w:w="2956" w:type="dxa"/>
          </w:tcPr>
          <w:p w:rsidR="00D4495D" w:rsidRPr="00892A83" w:rsidRDefault="00D4495D" w:rsidP="003066E6">
            <w:pPr>
              <w:spacing w:line="20" w:lineRule="atLeast"/>
              <w:rPr>
                <w:rFonts w:ascii="Times New Roman" w:eastAsia="Times New Roman" w:hAnsi="Times New Roman" w:cs="Times New Roman"/>
                <w:color w:val="000000"/>
                <w:sz w:val="18"/>
                <w:szCs w:val="18"/>
                <w:lang w:val="it-IT" w:eastAsia="tr-TR"/>
              </w:rPr>
            </w:pPr>
            <w:r w:rsidRPr="00892A83">
              <w:rPr>
                <w:rFonts w:ascii="Times New Roman" w:eastAsia="Times New Roman" w:hAnsi="Times New Roman" w:cs="Times New Roman"/>
                <w:color w:val="000000"/>
                <w:sz w:val="18"/>
                <w:szCs w:val="18"/>
                <w:lang w:val="it-IT" w:eastAsia="tr-TR"/>
              </w:rPr>
              <w:t xml:space="preserve">1. </w:t>
            </w:r>
            <w:r w:rsidRPr="00892A83">
              <w:rPr>
                <w:rFonts w:ascii="Times New Roman" w:eastAsia="Times New Roman" w:hAnsi="Times New Roman" w:cs="Times New Roman"/>
                <w:snapToGrid w:val="0"/>
                <w:color w:val="000000"/>
                <w:sz w:val="18"/>
                <w:szCs w:val="18"/>
                <w:lang w:eastAsia="tr-TR"/>
              </w:rPr>
              <w:t>Buzdolabı/Soğutucular/İklimlendirme cihazları</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lang w:val="it-IT"/>
              </w:rPr>
              <w:t>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lang w:val="it-IT"/>
              </w:rPr>
              <w:t>5,5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lang w:val="it-IT"/>
              </w:rPr>
              <w:t>6</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lang w:val="it-IT"/>
              </w:rPr>
              <w:t>6,5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lang w:val="it-IT"/>
              </w:rPr>
              <w:t>7</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10</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12,5</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15</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17,5</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20</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22,5</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25</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30</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35</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40</w:t>
            </w:r>
          </w:p>
        </w:tc>
      </w:tr>
      <w:tr w:rsidR="00D4495D" w:rsidRPr="00892A83" w:rsidTr="00CC4A00">
        <w:trPr>
          <w:trHeight w:val="276"/>
        </w:trPr>
        <w:tc>
          <w:tcPr>
            <w:tcW w:w="2956" w:type="dxa"/>
          </w:tcPr>
          <w:p w:rsidR="00D4495D" w:rsidRPr="00892A83" w:rsidRDefault="00D4495D" w:rsidP="003066E6">
            <w:pPr>
              <w:spacing w:line="20" w:lineRule="atLeast"/>
              <w:rPr>
                <w:rFonts w:ascii="Times New Roman" w:eastAsia="Times New Roman" w:hAnsi="Times New Roman" w:cs="Times New Roman"/>
                <w:color w:val="000000"/>
                <w:sz w:val="18"/>
                <w:szCs w:val="18"/>
                <w:lang w:val="it-IT" w:eastAsia="tr-TR"/>
              </w:rPr>
            </w:pPr>
            <w:r w:rsidRPr="00892A83">
              <w:rPr>
                <w:rFonts w:ascii="Times New Roman" w:eastAsia="Times New Roman" w:hAnsi="Times New Roman" w:cs="Times New Roman"/>
                <w:snapToGrid w:val="0"/>
                <w:color w:val="000000"/>
                <w:sz w:val="18"/>
                <w:szCs w:val="18"/>
                <w:lang w:val="it-IT" w:eastAsia="tr-TR"/>
              </w:rPr>
              <w:t>2.</w:t>
            </w:r>
            <w:r w:rsidRPr="00892A83">
              <w:rPr>
                <w:rFonts w:ascii="Times New Roman" w:eastAsia="Times New Roman" w:hAnsi="Times New Roman" w:cs="Times New Roman"/>
                <w:snapToGrid w:val="0"/>
                <w:color w:val="000000"/>
                <w:sz w:val="18"/>
                <w:szCs w:val="18"/>
                <w:lang w:eastAsia="tr-TR"/>
              </w:rPr>
              <w:t xml:space="preserve"> Büyük beyaz eşyalar (Buzdolabı/ soğutucular/iklimlendirme cihazları hariç) </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4</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4,5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5,5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6</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8</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10</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12,5</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15</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17,5</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20</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25</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30</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35</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40</w:t>
            </w:r>
          </w:p>
        </w:tc>
      </w:tr>
      <w:tr w:rsidR="00D4495D" w:rsidRPr="00892A83" w:rsidTr="00CC4A00">
        <w:trPr>
          <w:trHeight w:val="276"/>
        </w:trPr>
        <w:tc>
          <w:tcPr>
            <w:tcW w:w="2956" w:type="dxa"/>
          </w:tcPr>
          <w:p w:rsidR="00D4495D" w:rsidRPr="00892A83" w:rsidRDefault="00D4495D" w:rsidP="003066E6">
            <w:pPr>
              <w:spacing w:line="20" w:lineRule="atLeast"/>
              <w:rPr>
                <w:rFonts w:ascii="Times New Roman" w:eastAsia="Times New Roman" w:hAnsi="Times New Roman" w:cs="Times New Roman"/>
                <w:color w:val="000000"/>
                <w:sz w:val="18"/>
                <w:szCs w:val="18"/>
                <w:lang w:eastAsia="tr-TR"/>
              </w:rPr>
            </w:pPr>
            <w:r w:rsidRPr="00892A83">
              <w:rPr>
                <w:rFonts w:ascii="Times New Roman" w:eastAsia="Times New Roman" w:hAnsi="Times New Roman" w:cs="Times New Roman"/>
                <w:color w:val="000000"/>
                <w:sz w:val="18"/>
                <w:szCs w:val="18"/>
                <w:lang w:val="it-IT" w:eastAsia="tr-TR"/>
              </w:rPr>
              <w:t xml:space="preserve">3. </w:t>
            </w:r>
            <w:r w:rsidRPr="00892A83">
              <w:rPr>
                <w:rFonts w:ascii="Times New Roman" w:eastAsia="Times New Roman" w:hAnsi="Times New Roman" w:cs="Times New Roman"/>
                <w:snapToGrid w:val="0"/>
                <w:color w:val="000000"/>
                <w:sz w:val="18"/>
                <w:szCs w:val="18"/>
                <w:lang w:eastAsia="tr-TR"/>
              </w:rPr>
              <w:t>Televizyon ve monitörler</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lang w:val="it-IT"/>
              </w:rPr>
              <w:t>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lang w:val="it-IT"/>
              </w:rPr>
              <w:t>5,5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lang w:val="it-IT"/>
              </w:rPr>
              <w:t>6</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lang w:val="it-IT"/>
              </w:rPr>
              <w:t>6,5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lang w:val="it-IT"/>
              </w:rPr>
              <w:t>7</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10</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12,5</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15</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17,5</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20</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22,5</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25</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30</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35</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40</w:t>
            </w:r>
          </w:p>
        </w:tc>
      </w:tr>
      <w:tr w:rsidR="00D4495D" w:rsidRPr="00892A83" w:rsidTr="00CC4A00">
        <w:trPr>
          <w:trHeight w:val="276"/>
        </w:trPr>
        <w:tc>
          <w:tcPr>
            <w:tcW w:w="2956" w:type="dxa"/>
          </w:tcPr>
          <w:p w:rsidR="00D4495D" w:rsidRPr="00892A83" w:rsidRDefault="00D4495D" w:rsidP="003066E6">
            <w:pPr>
              <w:spacing w:line="20" w:lineRule="atLeast"/>
              <w:rPr>
                <w:rFonts w:ascii="Times New Roman" w:eastAsia="Times New Roman" w:hAnsi="Times New Roman" w:cs="Times New Roman"/>
                <w:color w:val="000000"/>
                <w:sz w:val="18"/>
                <w:szCs w:val="18"/>
                <w:lang w:eastAsia="tr-TR"/>
              </w:rPr>
            </w:pPr>
            <w:r w:rsidRPr="00892A83">
              <w:rPr>
                <w:rFonts w:ascii="Times New Roman" w:eastAsia="Times New Roman" w:hAnsi="Times New Roman" w:cs="Times New Roman"/>
                <w:color w:val="000000"/>
                <w:sz w:val="18"/>
                <w:szCs w:val="18"/>
                <w:lang w:eastAsia="tr-TR"/>
              </w:rPr>
              <w:t xml:space="preserve">4. </w:t>
            </w:r>
            <w:r w:rsidRPr="00892A83">
              <w:rPr>
                <w:rFonts w:ascii="Times New Roman" w:eastAsia="Times New Roman" w:hAnsi="Times New Roman" w:cs="Times New Roman"/>
                <w:snapToGrid w:val="0"/>
                <w:color w:val="000000"/>
                <w:sz w:val="18"/>
                <w:szCs w:val="18"/>
                <w:lang w:eastAsia="tr-TR"/>
              </w:rPr>
              <w:t xml:space="preserve">Bilişim ve telekomünikasyon ve tüketici </w:t>
            </w:r>
            <w:proofErr w:type="gramStart"/>
            <w:r w:rsidRPr="00892A83">
              <w:rPr>
                <w:rFonts w:ascii="Times New Roman" w:eastAsia="Times New Roman" w:hAnsi="Times New Roman" w:cs="Times New Roman"/>
                <w:snapToGrid w:val="0"/>
                <w:color w:val="000000"/>
                <w:sz w:val="18"/>
                <w:szCs w:val="18"/>
                <w:lang w:eastAsia="tr-TR"/>
              </w:rPr>
              <w:t>ekipmanları</w:t>
            </w:r>
            <w:proofErr w:type="gramEnd"/>
            <w:r w:rsidRPr="00892A83">
              <w:rPr>
                <w:rFonts w:ascii="Times New Roman" w:eastAsia="Times New Roman" w:hAnsi="Times New Roman" w:cs="Times New Roman"/>
                <w:snapToGrid w:val="0"/>
                <w:color w:val="000000"/>
                <w:sz w:val="18"/>
                <w:szCs w:val="18"/>
                <w:lang w:eastAsia="tr-TR"/>
              </w:rPr>
              <w:t xml:space="preserve"> (Televizyon ve monitörler hariç)</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4</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4,5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5,5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6</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8</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10</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12,5</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15</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17,5</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20</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25</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30</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35</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40</w:t>
            </w:r>
          </w:p>
        </w:tc>
      </w:tr>
      <w:tr w:rsidR="00D4495D" w:rsidRPr="00892A83" w:rsidTr="00CC4A00">
        <w:trPr>
          <w:trHeight w:val="276"/>
        </w:trPr>
        <w:tc>
          <w:tcPr>
            <w:tcW w:w="2956" w:type="dxa"/>
          </w:tcPr>
          <w:p w:rsidR="00D4495D" w:rsidRPr="00892A83" w:rsidRDefault="00D4495D" w:rsidP="003066E6">
            <w:pPr>
              <w:spacing w:line="20" w:lineRule="atLeast"/>
              <w:rPr>
                <w:rFonts w:ascii="Times New Roman" w:eastAsia="Times New Roman" w:hAnsi="Times New Roman" w:cs="Times New Roman"/>
                <w:color w:val="000000"/>
                <w:sz w:val="18"/>
                <w:szCs w:val="18"/>
                <w:lang w:eastAsia="tr-TR"/>
              </w:rPr>
            </w:pPr>
            <w:r w:rsidRPr="00892A83">
              <w:rPr>
                <w:rFonts w:ascii="Times New Roman" w:eastAsia="Times New Roman" w:hAnsi="Times New Roman" w:cs="Times New Roman"/>
                <w:color w:val="000000"/>
                <w:sz w:val="18"/>
                <w:szCs w:val="18"/>
                <w:lang w:eastAsia="tr-TR"/>
              </w:rPr>
              <w:t xml:space="preserve">5. Aydınlatma </w:t>
            </w:r>
            <w:proofErr w:type="gramStart"/>
            <w:r w:rsidRPr="00892A83">
              <w:rPr>
                <w:rFonts w:ascii="Times New Roman" w:eastAsia="Times New Roman" w:hAnsi="Times New Roman" w:cs="Times New Roman"/>
                <w:color w:val="000000"/>
                <w:sz w:val="18"/>
                <w:szCs w:val="18"/>
                <w:lang w:eastAsia="tr-TR"/>
              </w:rPr>
              <w:t>ekipmanları</w:t>
            </w:r>
            <w:proofErr w:type="gramEnd"/>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0,5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1</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1,5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2</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2,5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3</w:t>
            </w:r>
          </w:p>
        </w:tc>
        <w:tc>
          <w:tcPr>
            <w:tcW w:w="501"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3,5</w:t>
            </w:r>
          </w:p>
        </w:tc>
        <w:tc>
          <w:tcPr>
            <w:tcW w:w="501"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5</w:t>
            </w:r>
          </w:p>
        </w:tc>
        <w:tc>
          <w:tcPr>
            <w:tcW w:w="501" w:type="dxa"/>
          </w:tcPr>
          <w:p w:rsidR="00D4495D" w:rsidRPr="00892A83" w:rsidRDefault="00CC4A00"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6</w:t>
            </w:r>
          </w:p>
        </w:tc>
        <w:tc>
          <w:tcPr>
            <w:tcW w:w="501" w:type="dxa"/>
          </w:tcPr>
          <w:p w:rsidR="00D4495D" w:rsidRPr="00892A83" w:rsidRDefault="00CC4A00"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7</w:t>
            </w:r>
          </w:p>
        </w:tc>
        <w:tc>
          <w:tcPr>
            <w:tcW w:w="501" w:type="dxa"/>
          </w:tcPr>
          <w:p w:rsidR="00D4495D" w:rsidRPr="00892A83" w:rsidRDefault="00CC4A00"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w:t>
            </w:r>
            <w:r w:rsidR="00D4495D" w:rsidRPr="00892A83">
              <w:rPr>
                <w:rFonts w:ascii="Times New Roman" w:hAnsi="Times New Roman" w:cs="Times New Roman"/>
                <w:b/>
                <w:color w:val="0070C0"/>
                <w:sz w:val="16"/>
                <w:szCs w:val="16"/>
                <w:lang w:val="it-IT"/>
              </w:rPr>
              <w:t>0</w:t>
            </w:r>
          </w:p>
        </w:tc>
        <w:tc>
          <w:tcPr>
            <w:tcW w:w="496" w:type="dxa"/>
          </w:tcPr>
          <w:p w:rsidR="00D4495D" w:rsidRPr="00892A83" w:rsidRDefault="00CC4A00"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w:t>
            </w:r>
            <w:r w:rsidR="00D4495D" w:rsidRPr="00892A83">
              <w:rPr>
                <w:rFonts w:ascii="Times New Roman" w:hAnsi="Times New Roman" w:cs="Times New Roman"/>
                <w:b/>
                <w:color w:val="0070C0"/>
                <w:sz w:val="16"/>
                <w:szCs w:val="16"/>
                <w:lang w:val="it-IT"/>
              </w:rPr>
              <w:t>5</w:t>
            </w:r>
          </w:p>
        </w:tc>
        <w:tc>
          <w:tcPr>
            <w:tcW w:w="496" w:type="dxa"/>
          </w:tcPr>
          <w:p w:rsidR="00D4495D" w:rsidRPr="00892A83" w:rsidRDefault="00CC4A00" w:rsidP="00CC4A00">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25</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35</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40</w:t>
            </w:r>
          </w:p>
        </w:tc>
      </w:tr>
      <w:tr w:rsidR="00D4495D" w:rsidRPr="00892A83" w:rsidTr="00CC4A00">
        <w:trPr>
          <w:trHeight w:val="276"/>
        </w:trPr>
        <w:tc>
          <w:tcPr>
            <w:tcW w:w="2956" w:type="dxa"/>
          </w:tcPr>
          <w:p w:rsidR="00D4495D" w:rsidRPr="00892A83" w:rsidRDefault="00D4495D" w:rsidP="003066E6">
            <w:pPr>
              <w:spacing w:line="20" w:lineRule="atLeast"/>
              <w:rPr>
                <w:rFonts w:ascii="Times New Roman" w:eastAsia="Times New Roman" w:hAnsi="Times New Roman" w:cs="Times New Roman"/>
                <w:color w:val="000000"/>
                <w:sz w:val="18"/>
                <w:szCs w:val="18"/>
                <w:lang w:eastAsia="tr-TR"/>
              </w:rPr>
            </w:pPr>
            <w:r w:rsidRPr="00892A83">
              <w:rPr>
                <w:rFonts w:ascii="Times New Roman" w:eastAsia="Times New Roman" w:hAnsi="Times New Roman" w:cs="Times New Roman"/>
                <w:color w:val="000000"/>
                <w:sz w:val="18"/>
                <w:szCs w:val="18"/>
                <w:lang w:eastAsia="tr-TR"/>
              </w:rPr>
              <w:t xml:space="preserve">6. </w:t>
            </w:r>
            <w:r w:rsidRPr="00892A83">
              <w:rPr>
                <w:rFonts w:ascii="Times New Roman" w:eastAsia="Times New Roman" w:hAnsi="Times New Roman" w:cs="Times New Roman"/>
                <w:snapToGrid w:val="0"/>
                <w:color w:val="000000"/>
                <w:sz w:val="18"/>
                <w:szCs w:val="18"/>
                <w:lang w:eastAsia="tr-TR"/>
              </w:rPr>
              <w:t xml:space="preserve">Küçük ev aletleri, elektrikli ve elektronik aletler, oyuncaklar, spor ve eğlence </w:t>
            </w:r>
            <w:proofErr w:type="gramStart"/>
            <w:r w:rsidRPr="00892A83">
              <w:rPr>
                <w:rFonts w:ascii="Times New Roman" w:eastAsia="Times New Roman" w:hAnsi="Times New Roman" w:cs="Times New Roman"/>
                <w:snapToGrid w:val="0"/>
                <w:color w:val="000000"/>
                <w:sz w:val="18"/>
                <w:szCs w:val="18"/>
                <w:lang w:eastAsia="tr-TR"/>
              </w:rPr>
              <w:t>ekipmanları</w:t>
            </w:r>
            <w:proofErr w:type="gramEnd"/>
            <w:r w:rsidRPr="00892A83">
              <w:rPr>
                <w:rFonts w:ascii="Times New Roman" w:eastAsia="Times New Roman" w:hAnsi="Times New Roman" w:cs="Times New Roman"/>
                <w:snapToGrid w:val="0"/>
                <w:color w:val="000000"/>
                <w:sz w:val="18"/>
                <w:szCs w:val="18"/>
                <w:lang w:eastAsia="tr-TR"/>
              </w:rPr>
              <w:t>, izleme ve kontrol aletleri</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2</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3</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3,5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4</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4,5</w:t>
            </w:r>
          </w:p>
        </w:tc>
        <w:tc>
          <w:tcPr>
            <w:tcW w:w="496"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5</w:t>
            </w:r>
          </w:p>
        </w:tc>
        <w:tc>
          <w:tcPr>
            <w:tcW w:w="501"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8</w:t>
            </w:r>
          </w:p>
        </w:tc>
        <w:tc>
          <w:tcPr>
            <w:tcW w:w="501" w:type="dxa"/>
          </w:tcPr>
          <w:p w:rsidR="00D4495D" w:rsidRPr="00892A83" w:rsidRDefault="00D4495D" w:rsidP="003066E6">
            <w:pPr>
              <w:jc w:val="center"/>
              <w:rPr>
                <w:rFonts w:ascii="Times New Roman" w:hAnsi="Times New Roman" w:cs="Times New Roman"/>
                <w:b/>
                <w:color w:val="0070C0"/>
                <w:sz w:val="16"/>
                <w:szCs w:val="16"/>
              </w:rPr>
            </w:pPr>
            <w:r w:rsidRPr="00892A83">
              <w:rPr>
                <w:rFonts w:ascii="Times New Roman" w:hAnsi="Times New Roman" w:cs="Times New Roman"/>
                <w:b/>
                <w:color w:val="0070C0"/>
                <w:sz w:val="16"/>
                <w:szCs w:val="16"/>
              </w:rPr>
              <w:t>10</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15</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17,5</w:t>
            </w:r>
          </w:p>
        </w:tc>
        <w:tc>
          <w:tcPr>
            <w:tcW w:w="501"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20</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25</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30</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35</w:t>
            </w:r>
          </w:p>
        </w:tc>
        <w:tc>
          <w:tcPr>
            <w:tcW w:w="496" w:type="dxa"/>
          </w:tcPr>
          <w:p w:rsidR="00D4495D" w:rsidRPr="00892A83" w:rsidRDefault="00D4495D" w:rsidP="003066E6">
            <w:pPr>
              <w:jc w:val="center"/>
              <w:rPr>
                <w:rFonts w:ascii="Times New Roman" w:hAnsi="Times New Roman" w:cs="Times New Roman"/>
                <w:b/>
                <w:color w:val="0070C0"/>
                <w:sz w:val="16"/>
                <w:szCs w:val="16"/>
                <w:lang w:val="it-IT"/>
              </w:rPr>
            </w:pPr>
            <w:r w:rsidRPr="00892A83">
              <w:rPr>
                <w:rFonts w:ascii="Times New Roman" w:hAnsi="Times New Roman" w:cs="Times New Roman"/>
                <w:b/>
                <w:color w:val="0070C0"/>
                <w:sz w:val="16"/>
                <w:szCs w:val="16"/>
                <w:lang w:val="it-IT"/>
              </w:rPr>
              <w:t>40</w:t>
            </w:r>
          </w:p>
        </w:tc>
      </w:tr>
    </w:tbl>
    <w:p w:rsidR="00225FE2" w:rsidRPr="00892A83" w:rsidRDefault="00225FE2" w:rsidP="002300A7">
      <w:pPr>
        <w:jc w:val="both"/>
        <w:rPr>
          <w:rFonts w:ascii="Times New Roman" w:hAnsi="Times New Roman" w:cs="Times New Roman"/>
          <w:sz w:val="24"/>
          <w:szCs w:val="24"/>
        </w:rPr>
      </w:pPr>
    </w:p>
    <w:p w:rsidR="00BC2DFE" w:rsidRPr="00892A83" w:rsidRDefault="00BC2DFE" w:rsidP="00BC2DFE">
      <w:pPr>
        <w:tabs>
          <w:tab w:val="left" w:pos="566"/>
        </w:tabs>
        <w:spacing w:line="240" w:lineRule="exact"/>
        <w:jc w:val="both"/>
        <w:rPr>
          <w:rFonts w:ascii="Times New Roman" w:hAnsi="Times New Roman" w:cs="Times New Roman"/>
        </w:rPr>
      </w:pPr>
      <w:r w:rsidRPr="00892A83">
        <w:rPr>
          <w:rFonts w:ascii="Times New Roman" w:hAnsi="Times New Roman" w:cs="Times New Roman"/>
        </w:rPr>
        <w:t xml:space="preserve">(2) b) Büyük </w:t>
      </w:r>
      <w:r w:rsidRPr="00D80BD6">
        <w:rPr>
          <w:rFonts w:ascii="Times New Roman" w:hAnsi="Times New Roman" w:cs="Times New Roman"/>
        </w:rPr>
        <w:t xml:space="preserve">ev </w:t>
      </w:r>
      <w:r w:rsidRPr="00892A83">
        <w:rPr>
          <w:rFonts w:ascii="Times New Roman" w:hAnsi="Times New Roman" w:cs="Times New Roman"/>
        </w:rPr>
        <w:t>eşyalar</w:t>
      </w:r>
      <w:r w:rsidRPr="00D80BD6">
        <w:rPr>
          <w:rFonts w:ascii="Times New Roman" w:hAnsi="Times New Roman" w:cs="Times New Roman"/>
        </w:rPr>
        <w:t>ı</w:t>
      </w:r>
      <w:r w:rsidRPr="00892A83">
        <w:rPr>
          <w:rFonts w:ascii="Times New Roman" w:hAnsi="Times New Roman" w:cs="Times New Roman"/>
        </w:rPr>
        <w:t xml:space="preserve"> ((a) bendinde belirtilenler hariç) ve otomatlar,</w:t>
      </w:r>
    </w:p>
    <w:p w:rsidR="00BC2DFE" w:rsidRPr="00892A83" w:rsidRDefault="00BC2DFE" w:rsidP="002300A7">
      <w:pPr>
        <w:jc w:val="both"/>
        <w:rPr>
          <w:rFonts w:ascii="Times New Roman" w:hAnsi="Times New Roman" w:cs="Times New Roman"/>
          <w:sz w:val="24"/>
          <w:szCs w:val="24"/>
        </w:rPr>
      </w:pPr>
    </w:p>
    <w:p w:rsidR="004C33BA" w:rsidRPr="00892A83" w:rsidRDefault="004C33BA" w:rsidP="004C33BA">
      <w:pPr>
        <w:jc w:val="both"/>
        <w:rPr>
          <w:rFonts w:ascii="Times New Roman" w:hAnsi="Times New Roman" w:cs="Times New Roman"/>
          <w:sz w:val="24"/>
          <w:szCs w:val="24"/>
        </w:rPr>
      </w:pPr>
      <w:r w:rsidRPr="00892A83">
        <w:rPr>
          <w:rFonts w:ascii="Times New Roman" w:hAnsi="Times New Roman" w:cs="Times New Roman"/>
          <w:b/>
          <w:sz w:val="24"/>
          <w:szCs w:val="24"/>
        </w:rPr>
        <w:t>MADDE 16</w:t>
      </w:r>
      <w:r w:rsidRPr="00892A83">
        <w:rPr>
          <w:rFonts w:ascii="Times New Roman" w:hAnsi="Times New Roman" w:cs="Times New Roman"/>
          <w:sz w:val="24"/>
          <w:szCs w:val="24"/>
        </w:rPr>
        <w:t xml:space="preserve"> –</w:t>
      </w:r>
      <w:r w:rsidRPr="00892A83">
        <w:rPr>
          <w:rFonts w:ascii="Times New Roman" w:hAnsi="Times New Roman" w:cs="Times New Roman"/>
          <w:b/>
          <w:sz w:val="24"/>
          <w:szCs w:val="24"/>
        </w:rPr>
        <w:t xml:space="preserve"> Aynı Yönetmeliğinin 17 inci maddesinin birinci ve ikinci fıkrası aşağıdaki şekilde değiştirilmiştir. </w:t>
      </w:r>
    </w:p>
    <w:p w:rsidR="004C33BA" w:rsidRPr="00D80BD6" w:rsidRDefault="004C33BA" w:rsidP="004C33BA">
      <w:pPr>
        <w:spacing w:line="240" w:lineRule="atLeast"/>
        <w:jc w:val="both"/>
        <w:rPr>
          <w:rFonts w:ascii="Times New Roman" w:hAnsi="Times New Roman" w:cs="Times New Roman"/>
          <w:sz w:val="24"/>
          <w:szCs w:val="24"/>
        </w:rPr>
      </w:pPr>
      <w:r w:rsidRPr="00892A83">
        <w:rPr>
          <w:rFonts w:ascii="Times New Roman" w:hAnsi="Times New Roman" w:cs="Times New Roman"/>
          <w:b/>
          <w:bCs/>
          <w:sz w:val="24"/>
          <w:szCs w:val="24"/>
        </w:rPr>
        <w:t>MADDE 17 –</w:t>
      </w:r>
      <w:r w:rsidRPr="00892A83">
        <w:rPr>
          <w:rFonts w:ascii="Times New Roman" w:hAnsi="Times New Roman" w:cs="Times New Roman"/>
          <w:sz w:val="24"/>
          <w:szCs w:val="24"/>
        </w:rPr>
        <w:t xml:space="preserve"> (1) Üreticiler, bu Yönetmelikten kaynaklanan maliyetleri teminat altına almak üzere piyasaya sürecekleri ürünler için teminat vermekle yükümlüdürler. </w:t>
      </w:r>
      <w:r w:rsidRPr="00D80BD6">
        <w:rPr>
          <w:rFonts w:ascii="Times New Roman" w:hAnsi="Times New Roman" w:cs="Times New Roman"/>
          <w:sz w:val="24"/>
          <w:szCs w:val="24"/>
        </w:rPr>
        <w:t>Yetkilendirilmiş kuruluşlara üyelik ve ülke içinde üretim yapılması teminat olarak kabul edilir. Bunun dışındaki hususlarda teminat ve yetkilendirilmiş kuruluşlara ilişkin esaslar Bakanlıkça düzenlenir.</w:t>
      </w:r>
    </w:p>
    <w:p w:rsidR="004C33BA" w:rsidRPr="00D80BD6" w:rsidRDefault="004C33BA" w:rsidP="004C33BA">
      <w:pPr>
        <w:tabs>
          <w:tab w:val="left" w:pos="450"/>
        </w:tabs>
        <w:spacing w:line="240" w:lineRule="atLeast"/>
        <w:ind w:left="24"/>
        <w:jc w:val="both"/>
        <w:rPr>
          <w:rFonts w:ascii="Times New Roman" w:hAnsi="Times New Roman" w:cs="Times New Roman"/>
          <w:sz w:val="24"/>
          <w:szCs w:val="24"/>
        </w:rPr>
      </w:pPr>
      <w:r w:rsidRPr="00D80BD6">
        <w:rPr>
          <w:rFonts w:ascii="Times New Roman" w:hAnsi="Times New Roman" w:cs="Times New Roman"/>
          <w:sz w:val="24"/>
          <w:szCs w:val="24"/>
        </w:rPr>
        <w:lastRenderedPageBreak/>
        <w:t xml:space="preserve">(2) Üreticiler, bu Yönetmeliğin kapsamına giren evsel </w:t>
      </w:r>
      <w:proofErr w:type="spellStart"/>
      <w:r w:rsidRPr="00D80BD6">
        <w:rPr>
          <w:rFonts w:ascii="Times New Roman" w:hAnsi="Times New Roman" w:cs="Times New Roman"/>
          <w:sz w:val="24"/>
          <w:szCs w:val="24"/>
        </w:rPr>
        <w:t>AEEE’lerin</w:t>
      </w:r>
      <w:proofErr w:type="spellEnd"/>
      <w:r w:rsidRPr="00D80BD6">
        <w:rPr>
          <w:rFonts w:ascii="Times New Roman" w:hAnsi="Times New Roman" w:cs="Times New Roman"/>
          <w:sz w:val="24"/>
          <w:szCs w:val="24"/>
        </w:rPr>
        <w:t xml:space="preserve"> toplanması, işlenmesi ve/veya </w:t>
      </w:r>
      <w:proofErr w:type="spellStart"/>
      <w:r w:rsidRPr="00D80BD6">
        <w:rPr>
          <w:rFonts w:ascii="Times New Roman" w:hAnsi="Times New Roman" w:cs="Times New Roman"/>
          <w:sz w:val="24"/>
          <w:szCs w:val="24"/>
        </w:rPr>
        <w:t>bertarafına</w:t>
      </w:r>
      <w:proofErr w:type="spellEnd"/>
      <w:r w:rsidRPr="00D80BD6">
        <w:rPr>
          <w:rFonts w:ascii="Times New Roman" w:hAnsi="Times New Roman" w:cs="Times New Roman"/>
          <w:sz w:val="24"/>
          <w:szCs w:val="24"/>
        </w:rPr>
        <w:t xml:space="preserve"> ilişkin toplam maliyetleri ayrı bir satırda görülecek şekilde yeni ürünün satış faturasında gösterir. Bu maliyetler </w:t>
      </w:r>
      <w:proofErr w:type="spellStart"/>
      <w:r w:rsidRPr="00D80BD6">
        <w:rPr>
          <w:rFonts w:ascii="Times New Roman" w:hAnsi="Times New Roman" w:cs="Times New Roman"/>
          <w:sz w:val="24"/>
          <w:szCs w:val="24"/>
        </w:rPr>
        <w:t>AEEE’lerin</w:t>
      </w:r>
      <w:proofErr w:type="spellEnd"/>
      <w:r w:rsidRPr="00D80BD6">
        <w:rPr>
          <w:rFonts w:ascii="Times New Roman" w:hAnsi="Times New Roman" w:cs="Times New Roman"/>
          <w:sz w:val="24"/>
          <w:szCs w:val="24"/>
        </w:rPr>
        <w:t xml:space="preserve"> yönetimi haricinde harcanamaz. </w:t>
      </w:r>
    </w:p>
    <w:p w:rsidR="00281C6E" w:rsidRPr="00D80BD6" w:rsidRDefault="00281C6E" w:rsidP="002300A7">
      <w:pPr>
        <w:jc w:val="both"/>
        <w:rPr>
          <w:rFonts w:ascii="Times New Roman" w:hAnsi="Times New Roman" w:cs="Times New Roman"/>
          <w:sz w:val="24"/>
          <w:szCs w:val="24"/>
        </w:rPr>
      </w:pPr>
    </w:p>
    <w:p w:rsidR="008C571B" w:rsidRPr="00892A83" w:rsidRDefault="008C571B" w:rsidP="008C571B">
      <w:pPr>
        <w:jc w:val="both"/>
        <w:rPr>
          <w:rFonts w:ascii="Times New Roman" w:hAnsi="Times New Roman" w:cs="Times New Roman"/>
          <w:sz w:val="24"/>
          <w:szCs w:val="24"/>
        </w:rPr>
      </w:pPr>
      <w:r w:rsidRPr="00892A83">
        <w:rPr>
          <w:rFonts w:ascii="Times New Roman" w:hAnsi="Times New Roman" w:cs="Times New Roman"/>
          <w:b/>
          <w:sz w:val="24"/>
          <w:szCs w:val="24"/>
        </w:rPr>
        <w:t xml:space="preserve">MADDE 17 – Aynı Yönetmeliğinin 18 </w:t>
      </w:r>
      <w:proofErr w:type="spellStart"/>
      <w:r w:rsidRPr="00892A83">
        <w:rPr>
          <w:rFonts w:ascii="Times New Roman" w:hAnsi="Times New Roman" w:cs="Times New Roman"/>
          <w:b/>
          <w:sz w:val="24"/>
          <w:szCs w:val="24"/>
        </w:rPr>
        <w:t>nci</w:t>
      </w:r>
      <w:proofErr w:type="spellEnd"/>
      <w:r w:rsidRPr="00892A83">
        <w:rPr>
          <w:rFonts w:ascii="Times New Roman" w:hAnsi="Times New Roman" w:cs="Times New Roman"/>
          <w:b/>
          <w:sz w:val="24"/>
          <w:szCs w:val="24"/>
        </w:rPr>
        <w:t xml:space="preserve"> maddesinin birinci fıkrası aşağıdaki şekilde değiştirilmiştir. </w:t>
      </w:r>
    </w:p>
    <w:p w:rsidR="008C571B" w:rsidRPr="00892A83" w:rsidRDefault="008C571B" w:rsidP="008C571B">
      <w:pPr>
        <w:spacing w:line="240" w:lineRule="atLeast"/>
        <w:jc w:val="both"/>
        <w:rPr>
          <w:rFonts w:ascii="Times New Roman" w:hAnsi="Times New Roman" w:cs="Times New Roman"/>
          <w:sz w:val="24"/>
          <w:szCs w:val="24"/>
        </w:rPr>
      </w:pPr>
      <w:r w:rsidRPr="00892A83">
        <w:rPr>
          <w:rFonts w:ascii="Times New Roman" w:hAnsi="Times New Roman" w:cs="Times New Roman"/>
          <w:b/>
          <w:bCs/>
          <w:sz w:val="24"/>
          <w:szCs w:val="24"/>
        </w:rPr>
        <w:t>MADDE 18 –</w:t>
      </w:r>
      <w:r w:rsidRPr="00892A83">
        <w:rPr>
          <w:rFonts w:ascii="Times New Roman" w:hAnsi="Times New Roman" w:cs="Times New Roman"/>
          <w:sz w:val="24"/>
          <w:szCs w:val="24"/>
        </w:rPr>
        <w:t xml:space="preserve"> (1) Bu Yönetmeliğin yürürlüğe giriş tarihinden sonra piyasaya sürülen ürünlerden kaynaklanan evsel olmayan </w:t>
      </w:r>
      <w:proofErr w:type="spellStart"/>
      <w:r w:rsidRPr="00892A83">
        <w:rPr>
          <w:rFonts w:ascii="Times New Roman" w:hAnsi="Times New Roman" w:cs="Times New Roman"/>
          <w:sz w:val="24"/>
          <w:szCs w:val="24"/>
        </w:rPr>
        <w:t>AEEE’lerin</w:t>
      </w:r>
      <w:proofErr w:type="spellEnd"/>
      <w:r w:rsidRPr="00892A83">
        <w:rPr>
          <w:rFonts w:ascii="Times New Roman" w:hAnsi="Times New Roman" w:cs="Times New Roman"/>
          <w:sz w:val="24"/>
          <w:szCs w:val="24"/>
        </w:rPr>
        <w:t xml:space="preserve"> toplanması, nakliyesi, işlenmesi ve bertaraf maliyetleri </w:t>
      </w:r>
      <w:r w:rsidRPr="00D80BD6">
        <w:rPr>
          <w:rFonts w:ascii="Times New Roman" w:hAnsi="Times New Roman" w:cs="Times New Roman"/>
          <w:sz w:val="24"/>
          <w:szCs w:val="24"/>
        </w:rPr>
        <w:t xml:space="preserve">Atık Yönetimi Yönetmeliği’nde tanımlanan atık </w:t>
      </w:r>
      <w:r w:rsidRPr="00892A83">
        <w:rPr>
          <w:rFonts w:ascii="Times New Roman" w:hAnsi="Times New Roman" w:cs="Times New Roman"/>
          <w:sz w:val="24"/>
          <w:szCs w:val="24"/>
        </w:rPr>
        <w:t>üreticisi tarafından üstlenilir.</w:t>
      </w:r>
    </w:p>
    <w:p w:rsidR="00281C6E" w:rsidRPr="00892A83" w:rsidRDefault="00281C6E" w:rsidP="002300A7">
      <w:pPr>
        <w:jc w:val="both"/>
        <w:rPr>
          <w:rFonts w:ascii="Times New Roman" w:hAnsi="Times New Roman" w:cs="Times New Roman"/>
          <w:sz w:val="24"/>
          <w:szCs w:val="24"/>
        </w:rPr>
      </w:pPr>
    </w:p>
    <w:p w:rsidR="00D724D4" w:rsidRPr="00892A83" w:rsidRDefault="00D724D4" w:rsidP="00D724D4">
      <w:pPr>
        <w:jc w:val="both"/>
        <w:rPr>
          <w:rFonts w:ascii="Times New Roman" w:hAnsi="Times New Roman" w:cs="Times New Roman"/>
          <w:b/>
          <w:sz w:val="24"/>
          <w:szCs w:val="24"/>
        </w:rPr>
      </w:pPr>
      <w:r w:rsidRPr="00892A83">
        <w:rPr>
          <w:rFonts w:ascii="Times New Roman" w:hAnsi="Times New Roman" w:cs="Times New Roman"/>
          <w:b/>
          <w:sz w:val="24"/>
          <w:szCs w:val="24"/>
        </w:rPr>
        <w:t>MADDE 18 –Aynı Yönetmeliğinin 21 inci maddesinin birinci fıkrası aşağıdaki şekilde değiştirilmiştir.</w:t>
      </w:r>
    </w:p>
    <w:p w:rsidR="00D724D4" w:rsidRPr="00892A83" w:rsidRDefault="00D724D4" w:rsidP="00D724D4">
      <w:pPr>
        <w:jc w:val="both"/>
        <w:rPr>
          <w:rFonts w:ascii="Times New Roman" w:hAnsi="Times New Roman" w:cs="Times New Roman"/>
          <w:sz w:val="24"/>
          <w:szCs w:val="24"/>
        </w:rPr>
      </w:pPr>
      <w:r w:rsidRPr="00892A83">
        <w:rPr>
          <w:rFonts w:ascii="Times New Roman" w:hAnsi="Times New Roman" w:cs="Times New Roman"/>
          <w:b/>
          <w:sz w:val="24"/>
          <w:szCs w:val="24"/>
        </w:rPr>
        <w:t>MADDE 21 –</w:t>
      </w:r>
      <w:r w:rsidRPr="00892A83">
        <w:rPr>
          <w:rFonts w:ascii="Times New Roman" w:hAnsi="Times New Roman" w:cs="Times New Roman"/>
          <w:sz w:val="24"/>
          <w:szCs w:val="24"/>
        </w:rPr>
        <w:t xml:space="preserve"> (1) İşleme tesisleri 14 üncü maddede yer alan teknik </w:t>
      </w:r>
      <w:proofErr w:type="gramStart"/>
      <w:r w:rsidRPr="00892A83">
        <w:rPr>
          <w:rFonts w:ascii="Times New Roman" w:hAnsi="Times New Roman" w:cs="Times New Roman"/>
          <w:sz w:val="24"/>
          <w:szCs w:val="24"/>
        </w:rPr>
        <w:t>kriterlere</w:t>
      </w:r>
      <w:proofErr w:type="gramEnd"/>
      <w:r w:rsidRPr="00892A83">
        <w:rPr>
          <w:rFonts w:ascii="Times New Roman" w:hAnsi="Times New Roman" w:cs="Times New Roman"/>
          <w:sz w:val="24"/>
          <w:szCs w:val="24"/>
        </w:rPr>
        <w:t xml:space="preserve"> uygun olarak kurulur ve işletilir. Bu faaliyetler için </w:t>
      </w:r>
      <w:r w:rsidRPr="00D80BD6">
        <w:rPr>
          <w:rFonts w:ascii="Times New Roman" w:hAnsi="Times New Roman" w:cs="Times New Roman"/>
          <w:sz w:val="24"/>
          <w:szCs w:val="24"/>
        </w:rPr>
        <w:t>Çevre İzin ve Lisans Yönetmeliği kapsamında; Geçici Faaliyet Belgesi (GFB) veya</w:t>
      </w:r>
      <w:r w:rsidRPr="00892A83">
        <w:rPr>
          <w:rFonts w:ascii="Times New Roman" w:hAnsi="Times New Roman" w:cs="Times New Roman"/>
          <w:sz w:val="24"/>
          <w:szCs w:val="24"/>
        </w:rPr>
        <w:t xml:space="preserve"> çevre izin ve lisansı alınması zorunludur.</w:t>
      </w:r>
    </w:p>
    <w:p w:rsidR="00154DCF" w:rsidRPr="00892A83" w:rsidRDefault="00154DCF" w:rsidP="00154DCF">
      <w:pPr>
        <w:jc w:val="both"/>
        <w:rPr>
          <w:rFonts w:ascii="Times New Roman" w:hAnsi="Times New Roman" w:cs="Times New Roman"/>
          <w:b/>
          <w:sz w:val="24"/>
          <w:szCs w:val="24"/>
        </w:rPr>
      </w:pPr>
      <w:r w:rsidRPr="00892A83">
        <w:rPr>
          <w:rFonts w:ascii="Times New Roman" w:hAnsi="Times New Roman" w:cs="Times New Roman"/>
          <w:b/>
          <w:sz w:val="24"/>
          <w:szCs w:val="24"/>
        </w:rPr>
        <w:t xml:space="preserve">MADDE 19 – Aynı Yönetmeliğinin 22 </w:t>
      </w:r>
      <w:proofErr w:type="spellStart"/>
      <w:r w:rsidRPr="00892A83">
        <w:rPr>
          <w:rFonts w:ascii="Times New Roman" w:hAnsi="Times New Roman" w:cs="Times New Roman"/>
          <w:b/>
          <w:sz w:val="24"/>
          <w:szCs w:val="24"/>
        </w:rPr>
        <w:t>nci</w:t>
      </w:r>
      <w:proofErr w:type="spellEnd"/>
      <w:r w:rsidRPr="00892A83">
        <w:rPr>
          <w:rFonts w:ascii="Times New Roman" w:hAnsi="Times New Roman" w:cs="Times New Roman"/>
          <w:b/>
          <w:sz w:val="24"/>
          <w:szCs w:val="24"/>
        </w:rPr>
        <w:t xml:space="preserve"> maddesi birinci fıkrası</w:t>
      </w:r>
      <w:r w:rsidR="00231266" w:rsidRPr="00892A83">
        <w:rPr>
          <w:rFonts w:ascii="Times New Roman" w:hAnsi="Times New Roman" w:cs="Times New Roman"/>
          <w:b/>
          <w:sz w:val="24"/>
          <w:szCs w:val="24"/>
        </w:rPr>
        <w:t xml:space="preserve"> ve (ç) bendi</w:t>
      </w:r>
      <w:r w:rsidRPr="00892A83">
        <w:rPr>
          <w:rFonts w:ascii="Times New Roman" w:hAnsi="Times New Roman" w:cs="Times New Roman"/>
          <w:b/>
          <w:sz w:val="24"/>
          <w:szCs w:val="24"/>
        </w:rPr>
        <w:t xml:space="preserve"> aşağıdaki şekilde değiştirilmiştir. </w:t>
      </w:r>
    </w:p>
    <w:p w:rsidR="00324575" w:rsidRPr="00D80BD6" w:rsidRDefault="00324575" w:rsidP="00324575">
      <w:pPr>
        <w:spacing w:line="240" w:lineRule="atLeast"/>
        <w:jc w:val="both"/>
        <w:rPr>
          <w:rFonts w:ascii="Times New Roman" w:hAnsi="Times New Roman" w:cs="Times New Roman"/>
          <w:sz w:val="24"/>
          <w:szCs w:val="24"/>
        </w:rPr>
      </w:pPr>
      <w:r w:rsidRPr="00892A83">
        <w:rPr>
          <w:rFonts w:ascii="Times New Roman" w:hAnsi="Times New Roman" w:cs="Times New Roman"/>
          <w:b/>
          <w:bCs/>
          <w:sz w:val="24"/>
          <w:szCs w:val="24"/>
        </w:rPr>
        <w:t>MADDE 22 –</w:t>
      </w:r>
      <w:r w:rsidRPr="00892A83">
        <w:rPr>
          <w:rFonts w:ascii="Times New Roman" w:hAnsi="Times New Roman" w:cs="Times New Roman"/>
          <w:sz w:val="24"/>
          <w:szCs w:val="24"/>
        </w:rPr>
        <w:t xml:space="preserve"> (1) Yetkilendirilmiş kuruluşların ve yetkilendirilmiş kuruluş yapısına girmeden 17 </w:t>
      </w:r>
      <w:proofErr w:type="spellStart"/>
      <w:r w:rsidRPr="00892A83">
        <w:rPr>
          <w:rFonts w:ascii="Times New Roman" w:hAnsi="Times New Roman" w:cs="Times New Roman"/>
          <w:sz w:val="24"/>
          <w:szCs w:val="24"/>
        </w:rPr>
        <w:t>nci</w:t>
      </w:r>
      <w:proofErr w:type="spellEnd"/>
      <w:r w:rsidRPr="00892A83">
        <w:rPr>
          <w:rFonts w:ascii="Times New Roman" w:hAnsi="Times New Roman" w:cs="Times New Roman"/>
          <w:sz w:val="24"/>
          <w:szCs w:val="24"/>
        </w:rPr>
        <w:t xml:space="preserve"> maddeye göre teminat sunan üreticilerin, Bakanlıkla ve yerel yönetimlerle olan koordinasyonlarının sağlanması</w:t>
      </w:r>
      <w:r w:rsidRPr="00D80BD6">
        <w:rPr>
          <w:rFonts w:ascii="Times New Roman" w:hAnsi="Times New Roman" w:cs="Times New Roman"/>
          <w:sz w:val="24"/>
          <w:szCs w:val="24"/>
        </w:rPr>
        <w:t xml:space="preserve">, AEEE yönetiminin etkin bir şekilde yerine getirilmesi amacıyla, kâr amacı gütmeyen ortak bir Koordinasyon Merkezi kurmaları zorunludur. Birden fazla koordinasyon merkezi kurulamaz. Koordinasyon Merkezinin yapısına ilişkin hususlar Bakanlıkça düzenlenir. </w:t>
      </w:r>
    </w:p>
    <w:p w:rsidR="00D724D4" w:rsidRPr="00892A83" w:rsidRDefault="00231266" w:rsidP="00D724D4">
      <w:pPr>
        <w:jc w:val="both"/>
        <w:rPr>
          <w:rFonts w:ascii="Times New Roman" w:hAnsi="Times New Roman" w:cs="Times New Roman"/>
          <w:sz w:val="24"/>
          <w:szCs w:val="24"/>
        </w:rPr>
      </w:pPr>
      <w:r w:rsidRPr="00892A83">
        <w:rPr>
          <w:rFonts w:ascii="Times New Roman" w:hAnsi="Times New Roman" w:cs="Times New Roman"/>
          <w:sz w:val="24"/>
          <w:szCs w:val="24"/>
        </w:rPr>
        <w:t>ç) Her yıl ülke genelinde piyasaya sürülen EEE miktarları ile toplanan, ihraç edilen, yeniden kullanılan, geri dönüştürülen ve geri kazanılan AEEE miktarları ve oranlarını Ek-5’de yer alan tabloları kullanarak Bakanlığa raporlamakla ve raporda kullandığı bilgi ve belgeleri beş yıl süreyle muhafaza etmekle,</w:t>
      </w:r>
    </w:p>
    <w:p w:rsidR="00281C6E" w:rsidRPr="00892A83" w:rsidRDefault="00231266" w:rsidP="002300A7">
      <w:pPr>
        <w:jc w:val="both"/>
        <w:rPr>
          <w:rFonts w:ascii="Times New Roman" w:hAnsi="Times New Roman" w:cs="Times New Roman"/>
          <w:sz w:val="24"/>
          <w:szCs w:val="24"/>
        </w:rPr>
      </w:pPr>
      <w:r w:rsidRPr="00892A83">
        <w:rPr>
          <w:rFonts w:ascii="Times New Roman" w:hAnsi="Times New Roman" w:cs="Times New Roman"/>
          <w:b/>
          <w:sz w:val="24"/>
          <w:szCs w:val="24"/>
        </w:rPr>
        <w:t>MADDE 20 –</w:t>
      </w:r>
      <w:r w:rsidRPr="00892A83">
        <w:rPr>
          <w:rFonts w:ascii="Times New Roman" w:hAnsi="Times New Roman" w:cs="Times New Roman"/>
          <w:sz w:val="24"/>
          <w:szCs w:val="24"/>
        </w:rPr>
        <w:t xml:space="preserve"> Aynı Yönetmeliğinin 23 üncü maddesine aşağıdaki şekilde ikinci fıkra eklenmiştir.</w:t>
      </w:r>
    </w:p>
    <w:p w:rsidR="00231266" w:rsidRPr="00892A83" w:rsidRDefault="00231266" w:rsidP="00231266">
      <w:pPr>
        <w:jc w:val="both"/>
        <w:rPr>
          <w:rFonts w:ascii="Times New Roman" w:hAnsi="Times New Roman" w:cs="Times New Roman"/>
          <w:sz w:val="24"/>
          <w:szCs w:val="24"/>
        </w:rPr>
      </w:pPr>
      <w:r w:rsidRPr="00892A83">
        <w:rPr>
          <w:rFonts w:ascii="Times New Roman" w:hAnsi="Times New Roman" w:cs="Times New Roman"/>
          <w:sz w:val="24"/>
          <w:szCs w:val="24"/>
        </w:rPr>
        <w:t xml:space="preserve">MADDE 23 – </w:t>
      </w:r>
    </w:p>
    <w:p w:rsidR="00231266" w:rsidRPr="00892A83" w:rsidRDefault="00231266" w:rsidP="00231266">
      <w:pPr>
        <w:jc w:val="both"/>
        <w:rPr>
          <w:rFonts w:ascii="Times New Roman" w:hAnsi="Times New Roman" w:cs="Times New Roman"/>
          <w:sz w:val="24"/>
          <w:szCs w:val="24"/>
        </w:rPr>
      </w:pPr>
      <w:r w:rsidRPr="00892A83">
        <w:rPr>
          <w:rFonts w:ascii="Times New Roman" w:hAnsi="Times New Roman" w:cs="Times New Roman"/>
          <w:sz w:val="24"/>
          <w:szCs w:val="24"/>
        </w:rPr>
        <w:t>(2) EEE ithalatında üretici kaydı, 2016 yılı Ekim ayı itibariyle Gümrük ve Ticaret Bakanlığı Tek Pencere Sistemi ile Bakanlık EEE ve AEEE Bilgi Sistemi üzerinden kontrol edilir; Bakanlık EEE ve AEEE Bilgi Sisteminde kaydı bulunmayan ithalatçının EEE ithalatına izin verilmez.</w:t>
      </w:r>
    </w:p>
    <w:p w:rsidR="003F7765" w:rsidRPr="00892A83" w:rsidRDefault="00123B36" w:rsidP="002300A7">
      <w:pPr>
        <w:jc w:val="both"/>
        <w:rPr>
          <w:rFonts w:ascii="Times New Roman" w:hAnsi="Times New Roman" w:cs="Times New Roman"/>
          <w:sz w:val="24"/>
          <w:szCs w:val="24"/>
        </w:rPr>
      </w:pPr>
      <w:r w:rsidRPr="00892A83">
        <w:rPr>
          <w:rFonts w:ascii="Times New Roman" w:hAnsi="Times New Roman" w:cs="Times New Roman"/>
          <w:b/>
          <w:sz w:val="24"/>
          <w:szCs w:val="24"/>
        </w:rPr>
        <w:t xml:space="preserve">MADDE </w:t>
      </w:r>
      <w:r w:rsidR="003F7765" w:rsidRPr="00892A83">
        <w:rPr>
          <w:rFonts w:ascii="Times New Roman" w:hAnsi="Times New Roman" w:cs="Times New Roman"/>
          <w:b/>
          <w:sz w:val="24"/>
          <w:szCs w:val="24"/>
        </w:rPr>
        <w:t>21</w:t>
      </w:r>
      <w:r w:rsidR="00586358" w:rsidRPr="00892A83">
        <w:rPr>
          <w:rFonts w:ascii="Times New Roman" w:hAnsi="Times New Roman" w:cs="Times New Roman"/>
          <w:sz w:val="24"/>
          <w:szCs w:val="24"/>
        </w:rPr>
        <w:t xml:space="preserve"> –</w:t>
      </w:r>
      <w:r w:rsidR="002300A7" w:rsidRPr="00892A83">
        <w:rPr>
          <w:rFonts w:ascii="Times New Roman" w:hAnsi="Times New Roman" w:cs="Times New Roman"/>
          <w:sz w:val="24"/>
          <w:szCs w:val="24"/>
        </w:rPr>
        <w:t xml:space="preserve">Aynı </w:t>
      </w:r>
      <w:r w:rsidR="005B2199" w:rsidRPr="00892A83">
        <w:rPr>
          <w:rFonts w:ascii="Times New Roman" w:hAnsi="Times New Roman" w:cs="Times New Roman"/>
          <w:sz w:val="24"/>
          <w:szCs w:val="24"/>
        </w:rPr>
        <w:t xml:space="preserve">Yönetmeliğinin </w:t>
      </w:r>
      <w:r w:rsidR="003F7765" w:rsidRPr="00892A83">
        <w:rPr>
          <w:rFonts w:ascii="Times New Roman" w:hAnsi="Times New Roman" w:cs="Times New Roman"/>
          <w:b/>
          <w:sz w:val="24"/>
          <w:szCs w:val="24"/>
        </w:rPr>
        <w:t>24 üncü maddesine aşağıdaki şekilde değiştirilmiştir.</w:t>
      </w:r>
    </w:p>
    <w:p w:rsidR="003F7765" w:rsidRPr="00892A83" w:rsidRDefault="005C3142" w:rsidP="002300A7">
      <w:pPr>
        <w:jc w:val="both"/>
        <w:rPr>
          <w:rFonts w:ascii="Times New Roman" w:hAnsi="Times New Roman" w:cs="Times New Roman"/>
          <w:sz w:val="24"/>
          <w:szCs w:val="24"/>
        </w:rPr>
      </w:pPr>
      <w:r w:rsidRPr="00892A83">
        <w:rPr>
          <w:rFonts w:ascii="Times New Roman" w:hAnsi="Times New Roman" w:cs="Times New Roman"/>
          <w:sz w:val="24"/>
          <w:szCs w:val="24"/>
        </w:rPr>
        <w:lastRenderedPageBreak/>
        <w:t xml:space="preserve">MADDE 24 – </w:t>
      </w:r>
      <w:proofErr w:type="spellStart"/>
      <w:r w:rsidRPr="00892A83">
        <w:rPr>
          <w:rFonts w:ascii="Times New Roman" w:hAnsi="Times New Roman" w:cs="Times New Roman"/>
          <w:sz w:val="24"/>
          <w:szCs w:val="24"/>
        </w:rPr>
        <w:t>AEEE’lerden</w:t>
      </w:r>
      <w:proofErr w:type="spellEnd"/>
      <w:r w:rsidRPr="00892A83">
        <w:rPr>
          <w:rFonts w:ascii="Times New Roman" w:hAnsi="Times New Roman" w:cs="Times New Roman"/>
          <w:sz w:val="24"/>
          <w:szCs w:val="24"/>
        </w:rPr>
        <w:t xml:space="preserve"> </w:t>
      </w:r>
      <w:r w:rsidRPr="0097690E">
        <w:rPr>
          <w:rFonts w:ascii="Times New Roman" w:hAnsi="Times New Roman" w:cs="Times New Roman"/>
          <w:b/>
          <w:color w:val="FF0000"/>
          <w:sz w:val="24"/>
          <w:szCs w:val="24"/>
        </w:rPr>
        <w:t>yıldızlı kodlara sahip olanlarının</w:t>
      </w:r>
      <w:r w:rsidRPr="00892A83">
        <w:rPr>
          <w:rFonts w:ascii="Times New Roman" w:hAnsi="Times New Roman" w:cs="Times New Roman"/>
          <w:sz w:val="24"/>
          <w:szCs w:val="24"/>
        </w:rPr>
        <w:t xml:space="preserve">, getirme merkezleri, dağıtıcılar ve aktarma merkezlerinden işleme veya bertaraf tesislerine taşınması </w:t>
      </w:r>
      <w:r w:rsidRPr="0097690E">
        <w:rPr>
          <w:rFonts w:ascii="Times New Roman" w:hAnsi="Times New Roman" w:cs="Times New Roman"/>
          <w:b/>
          <w:color w:val="FF0000"/>
          <w:sz w:val="24"/>
          <w:szCs w:val="24"/>
        </w:rPr>
        <w:t xml:space="preserve">lisanslı araçlar ile yapılır </w:t>
      </w:r>
      <w:r w:rsidRPr="00892A83">
        <w:rPr>
          <w:rFonts w:ascii="Times New Roman" w:hAnsi="Times New Roman" w:cs="Times New Roman"/>
          <w:sz w:val="24"/>
          <w:szCs w:val="24"/>
        </w:rPr>
        <w:t>ve taşımaya ilişkin esaslar Bakanlıkça düzenlenir.</w:t>
      </w:r>
    </w:p>
    <w:p w:rsidR="00636A0A" w:rsidRPr="0097690E" w:rsidRDefault="006A1809" w:rsidP="002300A7">
      <w:pPr>
        <w:jc w:val="both"/>
        <w:rPr>
          <w:rFonts w:ascii="Times New Roman" w:hAnsi="Times New Roman" w:cs="Times New Roman"/>
          <w:b/>
          <w:sz w:val="24"/>
          <w:szCs w:val="24"/>
        </w:rPr>
      </w:pPr>
      <w:r w:rsidRPr="00892A83">
        <w:rPr>
          <w:rFonts w:ascii="Times New Roman" w:hAnsi="Times New Roman" w:cs="Times New Roman"/>
          <w:b/>
          <w:sz w:val="24"/>
          <w:szCs w:val="24"/>
        </w:rPr>
        <w:t>MADDE 2</w:t>
      </w:r>
      <w:r w:rsidR="00636A0A" w:rsidRPr="00892A83">
        <w:rPr>
          <w:rFonts w:ascii="Times New Roman" w:hAnsi="Times New Roman" w:cs="Times New Roman"/>
          <w:b/>
          <w:sz w:val="24"/>
          <w:szCs w:val="24"/>
        </w:rPr>
        <w:t>2</w:t>
      </w:r>
      <w:r w:rsidR="00490453" w:rsidRPr="00892A83">
        <w:rPr>
          <w:rFonts w:ascii="Times New Roman" w:hAnsi="Times New Roman" w:cs="Times New Roman"/>
          <w:sz w:val="24"/>
          <w:szCs w:val="24"/>
        </w:rPr>
        <w:t xml:space="preserve"> –</w:t>
      </w:r>
      <w:r w:rsidR="00636A0A" w:rsidRPr="00892A83">
        <w:rPr>
          <w:rFonts w:ascii="Times New Roman" w:hAnsi="Times New Roman" w:cs="Times New Roman"/>
          <w:sz w:val="24"/>
          <w:szCs w:val="24"/>
        </w:rPr>
        <w:t xml:space="preserve"> </w:t>
      </w:r>
      <w:r w:rsidR="00636A0A" w:rsidRPr="0097690E">
        <w:rPr>
          <w:rFonts w:ascii="Times New Roman" w:hAnsi="Times New Roman" w:cs="Times New Roman"/>
          <w:b/>
          <w:sz w:val="24"/>
          <w:szCs w:val="24"/>
        </w:rPr>
        <w:t>Aynı Yönetmeliğinin 25 inci maddesine aşağıdaki şekilde dördüncü fıkra eklenmiştir.</w:t>
      </w:r>
    </w:p>
    <w:p w:rsidR="00636A0A" w:rsidRPr="00892A83" w:rsidRDefault="00636A0A" w:rsidP="002300A7">
      <w:pPr>
        <w:jc w:val="both"/>
        <w:rPr>
          <w:rFonts w:ascii="Times New Roman" w:hAnsi="Times New Roman" w:cs="Times New Roman"/>
          <w:sz w:val="24"/>
          <w:szCs w:val="24"/>
        </w:rPr>
      </w:pPr>
      <w:r w:rsidRPr="00892A83">
        <w:rPr>
          <w:rFonts w:ascii="Times New Roman" w:hAnsi="Times New Roman" w:cs="Times New Roman"/>
          <w:sz w:val="24"/>
          <w:szCs w:val="24"/>
        </w:rPr>
        <w:t>MADDE 25 –</w:t>
      </w:r>
    </w:p>
    <w:p w:rsidR="00636A0A" w:rsidRPr="00D80BD6" w:rsidRDefault="00636A0A" w:rsidP="002300A7">
      <w:pPr>
        <w:jc w:val="both"/>
        <w:rPr>
          <w:rFonts w:ascii="Times New Roman" w:hAnsi="Times New Roman" w:cs="Times New Roman"/>
          <w:sz w:val="24"/>
          <w:szCs w:val="24"/>
        </w:rPr>
      </w:pPr>
      <w:r w:rsidRPr="00D80BD6">
        <w:rPr>
          <w:rFonts w:ascii="Times New Roman" w:hAnsi="Times New Roman" w:cs="Times New Roman"/>
          <w:sz w:val="24"/>
          <w:szCs w:val="24"/>
        </w:rPr>
        <w:t>(4) Yönetmeliğe uygun davranmayan üreticilerin isimleri Bakanlık tarafından resmi internet sitesinde duyurulmak suretiyle kamuoyunun bilgisine sunulur.</w:t>
      </w:r>
    </w:p>
    <w:p w:rsidR="00636A0A" w:rsidRPr="00892A83" w:rsidRDefault="0014683E" w:rsidP="002300A7">
      <w:pPr>
        <w:jc w:val="both"/>
        <w:rPr>
          <w:rFonts w:ascii="Times New Roman" w:hAnsi="Times New Roman" w:cs="Times New Roman"/>
          <w:b/>
          <w:sz w:val="24"/>
          <w:szCs w:val="24"/>
        </w:rPr>
      </w:pPr>
      <w:r w:rsidRPr="00892A83">
        <w:rPr>
          <w:rFonts w:ascii="Times New Roman" w:hAnsi="Times New Roman" w:cs="Times New Roman"/>
          <w:b/>
          <w:sz w:val="24"/>
          <w:szCs w:val="24"/>
        </w:rPr>
        <w:t xml:space="preserve">MADDE 23 – Aynı Yönetmeliğinin Geçici 2 </w:t>
      </w:r>
      <w:proofErr w:type="spellStart"/>
      <w:r w:rsidRPr="00892A83">
        <w:rPr>
          <w:rFonts w:ascii="Times New Roman" w:hAnsi="Times New Roman" w:cs="Times New Roman"/>
          <w:b/>
          <w:sz w:val="24"/>
          <w:szCs w:val="24"/>
        </w:rPr>
        <w:t>nci</w:t>
      </w:r>
      <w:proofErr w:type="spellEnd"/>
      <w:r w:rsidRPr="00892A83">
        <w:rPr>
          <w:rFonts w:ascii="Times New Roman" w:hAnsi="Times New Roman" w:cs="Times New Roman"/>
          <w:b/>
          <w:sz w:val="24"/>
          <w:szCs w:val="24"/>
        </w:rPr>
        <w:t xml:space="preserve"> maddesi başlığıyla birlikte yürürlükten kaldırılmıştır.</w:t>
      </w:r>
    </w:p>
    <w:p w:rsidR="00636A0A" w:rsidRPr="00892A83" w:rsidRDefault="0014683E" w:rsidP="002300A7">
      <w:pPr>
        <w:jc w:val="both"/>
        <w:rPr>
          <w:rFonts w:ascii="Times New Roman" w:hAnsi="Times New Roman" w:cs="Times New Roman"/>
          <w:b/>
          <w:sz w:val="24"/>
          <w:szCs w:val="24"/>
        </w:rPr>
      </w:pPr>
      <w:r w:rsidRPr="00892A83">
        <w:rPr>
          <w:rFonts w:ascii="Times New Roman" w:hAnsi="Times New Roman" w:cs="Times New Roman"/>
          <w:b/>
          <w:sz w:val="24"/>
          <w:szCs w:val="24"/>
        </w:rPr>
        <w:t>MADDE 24 – Aynı Yönetmeliğinin Geçici 3 üncü maddesi başlığıyla beraber yürürlükten kaldırılmıştır</w:t>
      </w:r>
      <w:r w:rsidR="00FF204A" w:rsidRPr="00892A83">
        <w:rPr>
          <w:rFonts w:ascii="Times New Roman" w:hAnsi="Times New Roman" w:cs="Times New Roman"/>
          <w:b/>
          <w:sz w:val="24"/>
          <w:szCs w:val="24"/>
        </w:rPr>
        <w:t>.</w:t>
      </w:r>
    </w:p>
    <w:p w:rsidR="00FF204A" w:rsidRPr="00892A83" w:rsidRDefault="009129C6" w:rsidP="002300A7">
      <w:pPr>
        <w:jc w:val="both"/>
        <w:rPr>
          <w:rFonts w:ascii="Times New Roman" w:hAnsi="Times New Roman" w:cs="Times New Roman"/>
          <w:b/>
          <w:sz w:val="24"/>
          <w:szCs w:val="24"/>
        </w:rPr>
      </w:pPr>
      <w:r>
        <w:rPr>
          <w:rFonts w:ascii="Times New Roman" w:hAnsi="Times New Roman" w:cs="Times New Roman"/>
          <w:b/>
          <w:sz w:val="24"/>
          <w:szCs w:val="24"/>
        </w:rPr>
        <w:t>MADDE 25</w:t>
      </w:r>
      <w:r w:rsidR="00FF204A" w:rsidRPr="00892A83">
        <w:rPr>
          <w:rFonts w:ascii="Times New Roman" w:hAnsi="Times New Roman" w:cs="Times New Roman"/>
          <w:b/>
          <w:sz w:val="24"/>
          <w:szCs w:val="24"/>
        </w:rPr>
        <w:t xml:space="preserve"> – Aynı Yönetmeliğinin 27 </w:t>
      </w:r>
      <w:proofErr w:type="spellStart"/>
      <w:r w:rsidR="00FF204A" w:rsidRPr="00892A83">
        <w:rPr>
          <w:rFonts w:ascii="Times New Roman" w:hAnsi="Times New Roman" w:cs="Times New Roman"/>
          <w:b/>
          <w:sz w:val="24"/>
          <w:szCs w:val="24"/>
        </w:rPr>
        <w:t>nci</w:t>
      </w:r>
      <w:proofErr w:type="spellEnd"/>
      <w:r w:rsidR="00FF204A" w:rsidRPr="00892A83">
        <w:rPr>
          <w:rFonts w:ascii="Times New Roman" w:hAnsi="Times New Roman" w:cs="Times New Roman"/>
          <w:b/>
          <w:sz w:val="24"/>
          <w:szCs w:val="24"/>
        </w:rPr>
        <w:t xml:space="preserve"> maddesinin birinci fırkasının (a) bendi kaldırılmış; (b) bendi aşağıdaki şekilde düzenlenmiştir.</w:t>
      </w:r>
    </w:p>
    <w:p w:rsidR="00FF204A" w:rsidRPr="00892A83" w:rsidRDefault="00FF204A" w:rsidP="00FF204A">
      <w:pPr>
        <w:jc w:val="both"/>
        <w:rPr>
          <w:rFonts w:ascii="Times New Roman" w:hAnsi="Times New Roman" w:cs="Times New Roman"/>
          <w:sz w:val="24"/>
          <w:szCs w:val="24"/>
        </w:rPr>
      </w:pPr>
      <w:r w:rsidRPr="00892A83">
        <w:rPr>
          <w:rFonts w:ascii="Times New Roman" w:hAnsi="Times New Roman" w:cs="Times New Roman"/>
          <w:sz w:val="24"/>
          <w:szCs w:val="24"/>
        </w:rPr>
        <w:t>MADDE 27 – (1) Bu Yönetmeliğin;</w:t>
      </w:r>
    </w:p>
    <w:p w:rsidR="00FF204A" w:rsidRPr="00892A83" w:rsidRDefault="00FF204A" w:rsidP="00FF204A">
      <w:pPr>
        <w:jc w:val="both"/>
        <w:rPr>
          <w:rFonts w:ascii="Times New Roman" w:hAnsi="Times New Roman" w:cs="Times New Roman"/>
          <w:sz w:val="24"/>
          <w:szCs w:val="24"/>
        </w:rPr>
      </w:pPr>
      <w:r w:rsidRPr="00892A83">
        <w:rPr>
          <w:rFonts w:ascii="Times New Roman" w:hAnsi="Times New Roman" w:cs="Times New Roman"/>
          <w:sz w:val="24"/>
          <w:szCs w:val="24"/>
        </w:rPr>
        <w:t xml:space="preserve">a) 22 </w:t>
      </w:r>
      <w:proofErr w:type="spellStart"/>
      <w:r w:rsidRPr="00892A83">
        <w:rPr>
          <w:rFonts w:ascii="Times New Roman" w:hAnsi="Times New Roman" w:cs="Times New Roman"/>
          <w:sz w:val="24"/>
          <w:szCs w:val="24"/>
        </w:rPr>
        <w:t>nci</w:t>
      </w:r>
      <w:proofErr w:type="spellEnd"/>
      <w:r w:rsidRPr="00892A83">
        <w:rPr>
          <w:rFonts w:ascii="Times New Roman" w:hAnsi="Times New Roman" w:cs="Times New Roman"/>
          <w:sz w:val="24"/>
          <w:szCs w:val="24"/>
        </w:rPr>
        <w:t xml:space="preserve"> maddesi 01.01.2019 tarihinde,</w:t>
      </w:r>
    </w:p>
    <w:p w:rsidR="00FF204A" w:rsidRPr="00892A83" w:rsidRDefault="00FF204A" w:rsidP="00FF204A">
      <w:pPr>
        <w:jc w:val="both"/>
        <w:rPr>
          <w:rFonts w:ascii="Times New Roman" w:hAnsi="Times New Roman" w:cs="Times New Roman"/>
          <w:sz w:val="24"/>
          <w:szCs w:val="24"/>
        </w:rPr>
      </w:pPr>
      <w:r w:rsidRPr="00892A83">
        <w:rPr>
          <w:rFonts w:ascii="Times New Roman" w:hAnsi="Times New Roman" w:cs="Times New Roman"/>
          <w:sz w:val="24"/>
          <w:szCs w:val="24"/>
        </w:rPr>
        <w:t>b) 23 üncü maddesinin ikinci fıkrası yayımı tarihinden bir yıl sonra;</w:t>
      </w:r>
    </w:p>
    <w:p w:rsidR="00FF204A" w:rsidRPr="00892A83" w:rsidRDefault="00FF204A" w:rsidP="00FF204A">
      <w:pPr>
        <w:jc w:val="both"/>
        <w:rPr>
          <w:rFonts w:ascii="Times New Roman" w:hAnsi="Times New Roman" w:cs="Times New Roman"/>
          <w:sz w:val="24"/>
          <w:szCs w:val="24"/>
        </w:rPr>
      </w:pPr>
      <w:r w:rsidRPr="00892A83">
        <w:rPr>
          <w:rFonts w:ascii="Times New Roman" w:hAnsi="Times New Roman" w:cs="Times New Roman"/>
          <w:sz w:val="24"/>
          <w:szCs w:val="24"/>
        </w:rPr>
        <w:t xml:space="preserve">c) Diğer maddeleri yayımı tarihinde </w:t>
      </w:r>
    </w:p>
    <w:p w:rsidR="00FF204A" w:rsidRPr="00892A83" w:rsidRDefault="00FF204A" w:rsidP="00FF204A">
      <w:pPr>
        <w:jc w:val="both"/>
        <w:rPr>
          <w:rFonts w:ascii="Times New Roman" w:hAnsi="Times New Roman" w:cs="Times New Roman"/>
          <w:sz w:val="24"/>
          <w:szCs w:val="24"/>
        </w:rPr>
      </w:pPr>
      <w:proofErr w:type="gramStart"/>
      <w:r w:rsidRPr="00892A83">
        <w:rPr>
          <w:rFonts w:ascii="Times New Roman" w:hAnsi="Times New Roman" w:cs="Times New Roman"/>
          <w:sz w:val="24"/>
          <w:szCs w:val="24"/>
        </w:rPr>
        <w:t>yürürlüğe</w:t>
      </w:r>
      <w:proofErr w:type="gramEnd"/>
      <w:r w:rsidRPr="00892A83">
        <w:rPr>
          <w:rFonts w:ascii="Times New Roman" w:hAnsi="Times New Roman" w:cs="Times New Roman"/>
          <w:sz w:val="24"/>
          <w:szCs w:val="24"/>
        </w:rPr>
        <w:t xml:space="preserve"> girer.</w:t>
      </w:r>
    </w:p>
    <w:p w:rsidR="009A29F5" w:rsidRPr="00892A83" w:rsidRDefault="00FF204A" w:rsidP="002300A7">
      <w:pPr>
        <w:jc w:val="both"/>
        <w:rPr>
          <w:rFonts w:ascii="Times New Roman" w:hAnsi="Times New Roman" w:cs="Times New Roman"/>
          <w:sz w:val="24"/>
          <w:szCs w:val="24"/>
        </w:rPr>
      </w:pPr>
      <w:r w:rsidRPr="00892A83">
        <w:rPr>
          <w:rFonts w:ascii="Times New Roman" w:hAnsi="Times New Roman" w:cs="Times New Roman"/>
          <w:b/>
          <w:sz w:val="24"/>
          <w:szCs w:val="24"/>
        </w:rPr>
        <w:t xml:space="preserve">MADDE </w:t>
      </w:r>
      <w:r w:rsidR="00123B36" w:rsidRPr="00892A83">
        <w:rPr>
          <w:rFonts w:ascii="Times New Roman" w:hAnsi="Times New Roman" w:cs="Times New Roman"/>
          <w:b/>
          <w:sz w:val="24"/>
          <w:szCs w:val="24"/>
        </w:rPr>
        <w:t>2</w:t>
      </w:r>
      <w:r w:rsidRPr="00892A83">
        <w:rPr>
          <w:rFonts w:ascii="Times New Roman" w:hAnsi="Times New Roman" w:cs="Times New Roman"/>
          <w:b/>
          <w:sz w:val="24"/>
          <w:szCs w:val="24"/>
        </w:rPr>
        <w:t>7</w:t>
      </w:r>
      <w:r w:rsidR="000255E1" w:rsidRPr="00892A83">
        <w:rPr>
          <w:rFonts w:ascii="Times New Roman" w:hAnsi="Times New Roman" w:cs="Times New Roman"/>
          <w:sz w:val="24"/>
          <w:szCs w:val="24"/>
        </w:rPr>
        <w:t xml:space="preserve"> –</w:t>
      </w:r>
      <w:r w:rsidR="009A29F5" w:rsidRPr="00892A83">
        <w:rPr>
          <w:rFonts w:ascii="Times New Roman" w:hAnsi="Times New Roman" w:cs="Times New Roman"/>
          <w:sz w:val="24"/>
          <w:szCs w:val="24"/>
        </w:rPr>
        <w:t xml:space="preserve"> </w:t>
      </w:r>
      <w:r w:rsidR="002300A7" w:rsidRPr="00892A83">
        <w:rPr>
          <w:rFonts w:ascii="Times New Roman" w:hAnsi="Times New Roman" w:cs="Times New Roman"/>
          <w:sz w:val="24"/>
          <w:szCs w:val="24"/>
        </w:rPr>
        <w:t xml:space="preserve">Bu Yönetmelik hükümlerini Çevre ve Şehircilik Bakanı yürütür.               </w:t>
      </w:r>
    </w:p>
    <w:p w:rsidR="009A29F5" w:rsidRPr="00892A83" w:rsidRDefault="009A29F5" w:rsidP="002300A7">
      <w:pPr>
        <w:jc w:val="both"/>
        <w:rPr>
          <w:rFonts w:ascii="Times New Roman" w:hAnsi="Times New Roman" w:cs="Times New Roman"/>
          <w:sz w:val="24"/>
          <w:szCs w:val="24"/>
        </w:rPr>
      </w:pPr>
    </w:p>
    <w:p w:rsidR="000255E1" w:rsidRPr="00892A83" w:rsidRDefault="000255E1" w:rsidP="00A930B3">
      <w:pPr>
        <w:rPr>
          <w:rFonts w:ascii="Times New Roman" w:hAnsi="Times New Roman" w:cs="Times New Roman"/>
          <w:sz w:val="24"/>
          <w:szCs w:val="24"/>
        </w:rPr>
      </w:pPr>
    </w:p>
    <w:sectPr w:rsidR="000255E1" w:rsidRPr="00892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E3695"/>
    <w:multiLevelType w:val="hybridMultilevel"/>
    <w:tmpl w:val="7EEA4182"/>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A3"/>
    <w:rsid w:val="000255E1"/>
    <w:rsid w:val="00095034"/>
    <w:rsid w:val="000D5F71"/>
    <w:rsid w:val="000E26D7"/>
    <w:rsid w:val="000F17B2"/>
    <w:rsid w:val="00123B36"/>
    <w:rsid w:val="00123B83"/>
    <w:rsid w:val="0014683E"/>
    <w:rsid w:val="00154DCF"/>
    <w:rsid w:val="001F107F"/>
    <w:rsid w:val="002219BE"/>
    <w:rsid w:val="00225FE2"/>
    <w:rsid w:val="002300A7"/>
    <w:rsid w:val="00231266"/>
    <w:rsid w:val="002774F5"/>
    <w:rsid w:val="00281C6E"/>
    <w:rsid w:val="002E2D30"/>
    <w:rsid w:val="003029E4"/>
    <w:rsid w:val="00324575"/>
    <w:rsid w:val="003A3D3F"/>
    <w:rsid w:val="003F7765"/>
    <w:rsid w:val="00405265"/>
    <w:rsid w:val="0044326F"/>
    <w:rsid w:val="004457E1"/>
    <w:rsid w:val="004740B3"/>
    <w:rsid w:val="00490453"/>
    <w:rsid w:val="004A01B1"/>
    <w:rsid w:val="004C33BA"/>
    <w:rsid w:val="004F286A"/>
    <w:rsid w:val="0057080D"/>
    <w:rsid w:val="00582B03"/>
    <w:rsid w:val="00586358"/>
    <w:rsid w:val="005A12E0"/>
    <w:rsid w:val="005B2199"/>
    <w:rsid w:val="005C3142"/>
    <w:rsid w:val="0060432E"/>
    <w:rsid w:val="00614C07"/>
    <w:rsid w:val="00636A0A"/>
    <w:rsid w:val="00641A35"/>
    <w:rsid w:val="00646115"/>
    <w:rsid w:val="00667BBC"/>
    <w:rsid w:val="00697376"/>
    <w:rsid w:val="006A1809"/>
    <w:rsid w:val="006E57C4"/>
    <w:rsid w:val="00755333"/>
    <w:rsid w:val="00781CD9"/>
    <w:rsid w:val="00790D69"/>
    <w:rsid w:val="007F0258"/>
    <w:rsid w:val="008257F4"/>
    <w:rsid w:val="00892A83"/>
    <w:rsid w:val="008B1817"/>
    <w:rsid w:val="008C571B"/>
    <w:rsid w:val="008D1601"/>
    <w:rsid w:val="008D37CB"/>
    <w:rsid w:val="008E22BB"/>
    <w:rsid w:val="009129C6"/>
    <w:rsid w:val="00932679"/>
    <w:rsid w:val="00942DA8"/>
    <w:rsid w:val="0097690E"/>
    <w:rsid w:val="009A29F5"/>
    <w:rsid w:val="00A768B2"/>
    <w:rsid w:val="00A930B3"/>
    <w:rsid w:val="00AD6C7B"/>
    <w:rsid w:val="00B05C96"/>
    <w:rsid w:val="00B16542"/>
    <w:rsid w:val="00B710AD"/>
    <w:rsid w:val="00BA46AE"/>
    <w:rsid w:val="00BC2DFE"/>
    <w:rsid w:val="00C93509"/>
    <w:rsid w:val="00CB7573"/>
    <w:rsid w:val="00CC0AD6"/>
    <w:rsid w:val="00CC4A00"/>
    <w:rsid w:val="00D4495D"/>
    <w:rsid w:val="00D724D4"/>
    <w:rsid w:val="00D80BD6"/>
    <w:rsid w:val="00E62682"/>
    <w:rsid w:val="00EB2DA3"/>
    <w:rsid w:val="00EC7345"/>
    <w:rsid w:val="00F7069D"/>
    <w:rsid w:val="00FB6BE1"/>
    <w:rsid w:val="00FC30EB"/>
    <w:rsid w:val="00FC7AA7"/>
    <w:rsid w:val="00FD0282"/>
    <w:rsid w:val="00FF2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8257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93509"/>
    <w:pPr>
      <w:ind w:left="720"/>
      <w:contextualSpacing/>
    </w:pPr>
  </w:style>
  <w:style w:type="table" w:styleId="TabloKlavuzu">
    <w:name w:val="Table Grid"/>
    <w:basedOn w:val="NormalTablo"/>
    <w:uiPriority w:val="59"/>
    <w:rsid w:val="00225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8257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93509"/>
    <w:pPr>
      <w:ind w:left="720"/>
      <w:contextualSpacing/>
    </w:pPr>
  </w:style>
  <w:style w:type="table" w:styleId="TabloKlavuzu">
    <w:name w:val="Table Grid"/>
    <w:basedOn w:val="NormalTablo"/>
    <w:uiPriority w:val="59"/>
    <w:rsid w:val="00225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2645</Words>
  <Characters>15079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Menekşe Keski</dc:creator>
  <cp:lastModifiedBy>Menekşe Keski</cp:lastModifiedBy>
  <cp:revision>2</cp:revision>
  <dcterms:created xsi:type="dcterms:W3CDTF">2016-05-20T08:37:00Z</dcterms:created>
  <dcterms:modified xsi:type="dcterms:W3CDTF">2016-05-20T08:37:00Z</dcterms:modified>
</cp:coreProperties>
</file>